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66" w:rsidRPr="00353093" w:rsidRDefault="00353093">
      <w:pPr>
        <w:rPr>
          <w:rFonts w:ascii="Century Gothic" w:hAnsi="Century Gothic"/>
          <w:b/>
          <w:sz w:val="32"/>
        </w:rPr>
      </w:pPr>
      <w:r w:rsidRPr="00353093">
        <w:rPr>
          <w:rFonts w:ascii="Century Gothic" w:hAnsi="Century Gothic"/>
          <w:b/>
          <w:sz w:val="32"/>
        </w:rPr>
        <w:t>Guidance on Care and Support Plan Recording</w:t>
      </w:r>
    </w:p>
    <w:p w:rsidR="00353093" w:rsidRPr="00353093" w:rsidRDefault="00353093">
      <w:pPr>
        <w:rPr>
          <w:rFonts w:ascii="Century Gothic" w:hAnsi="Century Gothic"/>
          <w:b/>
          <w:sz w:val="18"/>
        </w:rPr>
      </w:pPr>
    </w:p>
    <w:p w:rsidR="00353093" w:rsidRPr="00353093" w:rsidRDefault="00353093">
      <w:pPr>
        <w:rPr>
          <w:rFonts w:ascii="Century Gothic" w:hAnsi="Century Gothic"/>
          <w:b/>
          <w:sz w:val="32"/>
        </w:rPr>
      </w:pPr>
      <w:r w:rsidRPr="00353093">
        <w:rPr>
          <w:rFonts w:ascii="Century Gothic" w:hAnsi="Century Gothic"/>
          <w:b/>
          <w:sz w:val="32"/>
        </w:rPr>
        <w:t xml:space="preserve">Mental Capacity </w:t>
      </w:r>
    </w:p>
    <w:p w:rsidR="00353093" w:rsidRDefault="00353093"/>
    <w:tbl>
      <w:tblPr>
        <w:tblW w:w="14454" w:type="dxa"/>
        <w:tblCellMar>
          <w:left w:w="10" w:type="dxa"/>
          <w:right w:w="10" w:type="dxa"/>
        </w:tblCellMar>
        <w:tblLook w:val="0000" w:firstRow="0" w:lastRow="0" w:firstColumn="0" w:lastColumn="0" w:noHBand="0" w:noVBand="0"/>
      </w:tblPr>
      <w:tblGrid>
        <w:gridCol w:w="4390"/>
        <w:gridCol w:w="5670"/>
        <w:gridCol w:w="4394"/>
      </w:tblGrid>
      <w:tr w:rsidR="00353093" w:rsidTr="00C675D0">
        <w:trPr>
          <w:trHeight w:val="210"/>
        </w:trPr>
        <w:tc>
          <w:tcPr>
            <w:tcW w:w="439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53093" w:rsidRDefault="00353093" w:rsidP="00C675D0">
            <w:pPr>
              <w:rPr>
                <w:rFonts w:ascii="Century Gothic" w:hAnsi="Century Gothic"/>
                <w:sz w:val="28"/>
                <w:szCs w:val="28"/>
              </w:rPr>
            </w:pPr>
            <w:r>
              <w:rPr>
                <w:rFonts w:ascii="Century Gothic" w:hAnsi="Century Gothic"/>
                <w:sz w:val="28"/>
                <w:szCs w:val="28"/>
              </w:rPr>
              <w:t>Capacity</w:t>
            </w:r>
          </w:p>
        </w:tc>
        <w:tc>
          <w:tcPr>
            <w:tcW w:w="56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53093" w:rsidRDefault="00353093" w:rsidP="00C675D0">
            <w:pPr>
              <w:rPr>
                <w:rFonts w:ascii="Century Gothic" w:hAnsi="Century Gothic"/>
                <w:sz w:val="28"/>
                <w:szCs w:val="28"/>
              </w:rPr>
            </w:pPr>
            <w:r>
              <w:rPr>
                <w:rFonts w:ascii="Century Gothic" w:hAnsi="Century Gothic"/>
                <w:sz w:val="28"/>
                <w:szCs w:val="28"/>
              </w:rPr>
              <w:t>Lacks Capacity</w:t>
            </w:r>
          </w:p>
        </w:tc>
        <w:tc>
          <w:tcPr>
            <w:tcW w:w="43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53093" w:rsidRDefault="00353093" w:rsidP="00C675D0">
            <w:pPr>
              <w:rPr>
                <w:rFonts w:ascii="Century Gothic" w:hAnsi="Century Gothic"/>
                <w:sz w:val="28"/>
                <w:szCs w:val="28"/>
              </w:rPr>
            </w:pPr>
            <w:r>
              <w:rPr>
                <w:rFonts w:ascii="Century Gothic" w:hAnsi="Century Gothic"/>
                <w:sz w:val="28"/>
                <w:szCs w:val="28"/>
              </w:rPr>
              <w:t>Fluctuating Capacity</w:t>
            </w:r>
          </w:p>
        </w:tc>
      </w:tr>
      <w:tr w:rsidR="00353093" w:rsidTr="00C675D0">
        <w:trPr>
          <w:trHeight w:val="6825"/>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093" w:rsidRDefault="00353093" w:rsidP="00C675D0">
            <w:pPr>
              <w:numPr>
                <w:ilvl w:val="0"/>
                <w:numId w:val="1"/>
              </w:numPr>
              <w:rPr>
                <w:rFonts w:ascii="Century Gothic" w:hAnsi="Century Gothic"/>
                <w:sz w:val="28"/>
                <w:szCs w:val="28"/>
              </w:rPr>
            </w:pPr>
            <w:r>
              <w:rPr>
                <w:rFonts w:ascii="Century Gothic" w:hAnsi="Century Gothic"/>
                <w:sz w:val="28"/>
                <w:szCs w:val="28"/>
              </w:rPr>
              <w:t>A service user with capacity should decide the content of their care plan.</w:t>
            </w:r>
          </w:p>
          <w:p w:rsidR="00353093" w:rsidRDefault="00353093" w:rsidP="00C675D0">
            <w:pPr>
              <w:numPr>
                <w:ilvl w:val="0"/>
                <w:numId w:val="1"/>
              </w:numPr>
              <w:rPr>
                <w:rFonts w:ascii="Century Gothic" w:hAnsi="Century Gothic"/>
                <w:sz w:val="28"/>
                <w:szCs w:val="28"/>
              </w:rPr>
            </w:pPr>
            <w:r>
              <w:rPr>
                <w:rFonts w:ascii="Century Gothic" w:hAnsi="Century Gothic"/>
                <w:sz w:val="28"/>
                <w:szCs w:val="28"/>
              </w:rPr>
              <w:t>Should be written in the first person.</w:t>
            </w:r>
          </w:p>
          <w:p w:rsidR="00353093" w:rsidRDefault="00353093" w:rsidP="00C675D0">
            <w:pPr>
              <w:numPr>
                <w:ilvl w:val="0"/>
                <w:numId w:val="1"/>
              </w:numPr>
              <w:rPr>
                <w:rFonts w:ascii="Century Gothic" w:hAnsi="Century Gothic"/>
                <w:sz w:val="28"/>
                <w:szCs w:val="28"/>
              </w:rPr>
            </w:pPr>
            <w:r>
              <w:rPr>
                <w:rFonts w:ascii="Century Gothic" w:hAnsi="Century Gothic"/>
                <w:sz w:val="28"/>
                <w:szCs w:val="28"/>
              </w:rPr>
              <w:t>Person should sign to indicate consent to actions and involvement.</w:t>
            </w:r>
          </w:p>
          <w:p w:rsidR="00353093" w:rsidRDefault="00353093" w:rsidP="00C675D0">
            <w:pPr>
              <w:numPr>
                <w:ilvl w:val="0"/>
                <w:numId w:val="1"/>
              </w:numPr>
            </w:pPr>
            <w:r>
              <w:rPr>
                <w:rFonts w:ascii="Century Gothic" w:hAnsi="Century Gothic"/>
                <w:sz w:val="28"/>
                <w:szCs w:val="28"/>
              </w:rPr>
              <w:t xml:space="preserve">Two stage tests </w:t>
            </w:r>
            <w:r>
              <w:rPr>
                <w:rFonts w:ascii="Century Gothic" w:hAnsi="Century Gothic"/>
                <w:b/>
                <w:sz w:val="28"/>
                <w:szCs w:val="28"/>
              </w:rPr>
              <w:t xml:space="preserve">may </w:t>
            </w:r>
            <w:r>
              <w:rPr>
                <w:rFonts w:ascii="Century Gothic" w:hAnsi="Century Gothic"/>
                <w:sz w:val="28"/>
                <w:szCs w:val="28"/>
              </w:rPr>
              <w:t>be used and evidenced where a person’s capacity was in question/in doubt.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093" w:rsidRDefault="00353093" w:rsidP="00C675D0">
            <w:pPr>
              <w:numPr>
                <w:ilvl w:val="0"/>
                <w:numId w:val="1"/>
              </w:numPr>
            </w:pPr>
            <w:r>
              <w:rPr>
                <w:rFonts w:ascii="Century Gothic" w:hAnsi="Century Gothic"/>
                <w:sz w:val="28"/>
                <w:szCs w:val="28"/>
              </w:rPr>
              <w:t>Written in the 3</w:t>
            </w:r>
            <w:r>
              <w:rPr>
                <w:rFonts w:ascii="Century Gothic" w:hAnsi="Century Gothic"/>
                <w:sz w:val="28"/>
                <w:szCs w:val="28"/>
                <w:vertAlign w:val="superscript"/>
              </w:rPr>
              <w:t>rd</w:t>
            </w:r>
            <w:r>
              <w:rPr>
                <w:rFonts w:ascii="Century Gothic" w:hAnsi="Century Gothic"/>
                <w:sz w:val="28"/>
                <w:szCs w:val="28"/>
              </w:rPr>
              <w:t xml:space="preserve"> Person; only indicators of ‘preference’ can be written in the first person e.g. the person may not be able to make the decision about their personal care but may be able to state a preference about products to be used, such as a particular shampoo.</w:t>
            </w:r>
          </w:p>
          <w:p w:rsidR="00353093" w:rsidRDefault="00353093" w:rsidP="00C675D0">
            <w:pPr>
              <w:numPr>
                <w:ilvl w:val="0"/>
                <w:numId w:val="1"/>
              </w:numPr>
              <w:rPr>
                <w:rFonts w:ascii="Century Gothic" w:hAnsi="Century Gothic"/>
                <w:sz w:val="28"/>
                <w:szCs w:val="28"/>
              </w:rPr>
            </w:pPr>
            <w:r>
              <w:rPr>
                <w:rFonts w:ascii="Century Gothic" w:hAnsi="Century Gothic"/>
                <w:sz w:val="28"/>
                <w:szCs w:val="28"/>
              </w:rPr>
              <w:t>Evidence of use of the two stage test.</w:t>
            </w:r>
          </w:p>
          <w:p w:rsidR="00353093" w:rsidRDefault="00353093" w:rsidP="00C675D0">
            <w:pPr>
              <w:numPr>
                <w:ilvl w:val="0"/>
                <w:numId w:val="1"/>
              </w:numPr>
              <w:rPr>
                <w:rFonts w:ascii="Century Gothic" w:hAnsi="Century Gothic"/>
                <w:sz w:val="28"/>
                <w:szCs w:val="28"/>
              </w:rPr>
            </w:pPr>
            <w:r>
              <w:rPr>
                <w:rFonts w:ascii="Century Gothic" w:hAnsi="Century Gothic"/>
                <w:sz w:val="28"/>
                <w:szCs w:val="28"/>
              </w:rPr>
              <w:t>Their signature is not appropriate and recording should indicate they lack capacity to consent.</w:t>
            </w:r>
          </w:p>
          <w:p w:rsidR="00353093" w:rsidRDefault="00353093" w:rsidP="00C675D0">
            <w:pPr>
              <w:numPr>
                <w:ilvl w:val="0"/>
                <w:numId w:val="1"/>
              </w:numPr>
            </w:pPr>
            <w:r>
              <w:rPr>
                <w:rFonts w:ascii="Century Gothic" w:hAnsi="Century Gothic"/>
                <w:sz w:val="28"/>
                <w:szCs w:val="28"/>
              </w:rPr>
              <w:t xml:space="preserve">Relatives can sign to say they have been </w:t>
            </w:r>
            <w:r>
              <w:rPr>
                <w:rFonts w:ascii="Century Gothic" w:hAnsi="Century Gothic"/>
                <w:b/>
                <w:sz w:val="28"/>
                <w:szCs w:val="28"/>
              </w:rPr>
              <w:t>consulted</w:t>
            </w:r>
            <w:r>
              <w:rPr>
                <w:rFonts w:ascii="Century Gothic" w:hAnsi="Century Gothic"/>
                <w:sz w:val="28"/>
                <w:szCs w:val="28"/>
              </w:rPr>
              <w:t xml:space="preserve"> but cannot consent unless they have the legal power to do so.</w:t>
            </w:r>
          </w:p>
          <w:p w:rsidR="00353093" w:rsidRDefault="00353093" w:rsidP="00C675D0">
            <w:pPr>
              <w:numPr>
                <w:ilvl w:val="0"/>
                <w:numId w:val="1"/>
              </w:numPr>
              <w:rPr>
                <w:rFonts w:ascii="Century Gothic" w:hAnsi="Century Gothic"/>
                <w:sz w:val="28"/>
                <w:szCs w:val="28"/>
              </w:rPr>
            </w:pPr>
            <w:r>
              <w:rPr>
                <w:rFonts w:ascii="Century Gothic" w:hAnsi="Century Gothic"/>
                <w:sz w:val="28"/>
                <w:szCs w:val="28"/>
              </w:rPr>
              <w:t>The decision maker should record their name, date completed and their signature to verify their belief that the care proposed is the person’s best interests.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093" w:rsidRDefault="00353093" w:rsidP="00C675D0">
            <w:pPr>
              <w:numPr>
                <w:ilvl w:val="0"/>
                <w:numId w:val="1"/>
              </w:numPr>
              <w:rPr>
                <w:rFonts w:ascii="Century Gothic" w:hAnsi="Century Gothic"/>
                <w:sz w:val="28"/>
                <w:szCs w:val="28"/>
              </w:rPr>
            </w:pPr>
            <w:r>
              <w:rPr>
                <w:rFonts w:ascii="Century Gothic" w:hAnsi="Century Gothic"/>
                <w:sz w:val="28"/>
                <w:szCs w:val="28"/>
              </w:rPr>
              <w:t>Discuss with the person at the times when they have capacity in order to help plan and prepare best interests decision making at the times they lack capacity.</w:t>
            </w:r>
          </w:p>
          <w:p w:rsidR="00353093" w:rsidRDefault="00353093" w:rsidP="00C675D0">
            <w:pPr>
              <w:numPr>
                <w:ilvl w:val="0"/>
                <w:numId w:val="1"/>
              </w:numPr>
              <w:rPr>
                <w:rFonts w:ascii="Century Gothic" w:hAnsi="Century Gothic"/>
                <w:sz w:val="28"/>
                <w:szCs w:val="28"/>
              </w:rPr>
            </w:pPr>
            <w:r>
              <w:rPr>
                <w:rFonts w:ascii="Century Gothic" w:hAnsi="Century Gothic"/>
                <w:sz w:val="28"/>
                <w:szCs w:val="28"/>
              </w:rPr>
              <w:t>Encourage involvement of the person in constructing a care plan that reflects actions that are consented to (when they have capacity) and indications of preferences and wishes (for when they lack capacity). This will inform best interest’s decision making when they lack capacity.</w:t>
            </w:r>
          </w:p>
          <w:p w:rsidR="00353093" w:rsidRDefault="00353093" w:rsidP="00C675D0">
            <w:pPr>
              <w:numPr>
                <w:ilvl w:val="0"/>
                <w:numId w:val="1"/>
              </w:numPr>
              <w:rPr>
                <w:rFonts w:ascii="Century Gothic" w:hAnsi="Century Gothic"/>
                <w:sz w:val="28"/>
                <w:szCs w:val="28"/>
              </w:rPr>
            </w:pPr>
            <w:r>
              <w:rPr>
                <w:rFonts w:ascii="Century Gothic" w:hAnsi="Century Gothic"/>
                <w:sz w:val="28"/>
                <w:szCs w:val="28"/>
              </w:rPr>
              <w:t>Always consider whether the decision can wait until the person is able to make the decision themselves.</w:t>
            </w:r>
          </w:p>
        </w:tc>
      </w:tr>
    </w:tbl>
    <w:p w:rsidR="00353093" w:rsidRDefault="00353093" w:rsidP="00353093">
      <w:pPr>
        <w:jc w:val="right"/>
        <w:rPr>
          <w:rFonts w:ascii="Century Gothic" w:hAnsi="Century Gothic"/>
          <w:b/>
          <w:sz w:val="28"/>
        </w:rPr>
      </w:pPr>
      <w:bookmarkStart w:id="0" w:name="_GoBack"/>
      <w:bookmarkEnd w:id="0"/>
    </w:p>
    <w:sectPr w:rsidR="00353093" w:rsidSect="00353093">
      <w:pgSz w:w="16838" w:h="11906" w:orient="landscape"/>
      <w:pgMar w:top="1134"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9BB" w:rsidRDefault="00F41615">
      <w:r>
        <w:separator/>
      </w:r>
    </w:p>
  </w:endnote>
  <w:endnote w:type="continuationSeparator" w:id="0">
    <w:p w:rsidR="00F409BB" w:rsidRDefault="00F4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Segoe UI"/>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9BB" w:rsidRDefault="00F41615">
      <w:r>
        <w:rPr>
          <w:color w:val="000000"/>
        </w:rPr>
        <w:separator/>
      </w:r>
    </w:p>
  </w:footnote>
  <w:footnote w:type="continuationSeparator" w:id="0">
    <w:p w:rsidR="00F409BB" w:rsidRDefault="00F41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E150D"/>
    <w:multiLevelType w:val="multilevel"/>
    <w:tmpl w:val="95C4E40E"/>
    <w:lvl w:ilvl="0">
      <w:numFmt w:val="bullet"/>
      <w:lvlText w:val=""/>
      <w:lvlJc w:val="left"/>
      <w:pPr>
        <w:ind w:left="284" w:hanging="227"/>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66"/>
    <w:rsid w:val="00353093"/>
    <w:rsid w:val="009D6A95"/>
    <w:rsid w:val="00E21266"/>
    <w:rsid w:val="00F409BB"/>
    <w:rsid w:val="00F41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121C3-9B16-4082-910C-34AE1389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Ramage</dc:creator>
  <dc:description/>
  <cp:lastModifiedBy>Claire Poole</cp:lastModifiedBy>
  <cp:revision>2</cp:revision>
  <dcterms:created xsi:type="dcterms:W3CDTF">2018-07-31T09:27:00Z</dcterms:created>
  <dcterms:modified xsi:type="dcterms:W3CDTF">2018-07-31T09:27:00Z</dcterms:modified>
</cp:coreProperties>
</file>