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0D" w:rsidRPr="00D43B0D" w:rsidRDefault="00D43B0D">
      <w:pPr>
        <w:rPr>
          <w:rFonts w:ascii="Century Gothic" w:hAnsi="Century Gothic"/>
          <w:b/>
          <w:sz w:val="36"/>
        </w:rPr>
      </w:pPr>
      <w:r w:rsidRPr="00D43B0D">
        <w:rPr>
          <w:rFonts w:ascii="Century Gothic" w:hAnsi="Century Gothic"/>
          <w:b/>
          <w:sz w:val="36"/>
        </w:rPr>
        <w:t xml:space="preserve">Optimum Members </w:t>
      </w:r>
      <w:r w:rsidR="00534835">
        <w:rPr>
          <w:rFonts w:ascii="Century Gothic" w:hAnsi="Century Gothic"/>
          <w:b/>
          <w:sz w:val="36"/>
        </w:rPr>
        <w:t>Workforce Development Workshop</w:t>
      </w:r>
    </w:p>
    <w:p w:rsidR="00D43B0D" w:rsidRPr="00D43B0D" w:rsidRDefault="00D43B0D">
      <w:pPr>
        <w:rPr>
          <w:rFonts w:ascii="Century Gothic" w:hAnsi="Century Gothic"/>
          <w:sz w:val="32"/>
        </w:rPr>
      </w:pPr>
      <w:r w:rsidRPr="00D43B0D">
        <w:rPr>
          <w:rFonts w:ascii="Century Gothic" w:hAnsi="Century Gothic"/>
          <w:sz w:val="32"/>
        </w:rPr>
        <w:t xml:space="preserve">Record of </w:t>
      </w:r>
      <w:r w:rsidR="00534835">
        <w:rPr>
          <w:rFonts w:ascii="Century Gothic" w:hAnsi="Century Gothic"/>
          <w:sz w:val="32"/>
        </w:rPr>
        <w:t>challenges and solutions</w:t>
      </w:r>
      <w:r w:rsidRPr="00D43B0D">
        <w:rPr>
          <w:rFonts w:ascii="Century Gothic" w:hAnsi="Century Gothic"/>
          <w:sz w:val="32"/>
        </w:rPr>
        <w:t xml:space="preserve"> – </w:t>
      </w:r>
      <w:r w:rsidR="00534835">
        <w:rPr>
          <w:rFonts w:ascii="Century Gothic" w:hAnsi="Century Gothic"/>
          <w:sz w:val="32"/>
        </w:rPr>
        <w:t>26</w:t>
      </w:r>
      <w:r w:rsidR="00534835" w:rsidRPr="00534835">
        <w:rPr>
          <w:rFonts w:ascii="Century Gothic" w:hAnsi="Century Gothic"/>
          <w:sz w:val="32"/>
          <w:vertAlign w:val="superscript"/>
        </w:rPr>
        <w:t>th</w:t>
      </w:r>
      <w:r w:rsidR="00534835">
        <w:rPr>
          <w:rFonts w:ascii="Century Gothic" w:hAnsi="Century Gothic"/>
          <w:sz w:val="32"/>
        </w:rPr>
        <w:t xml:space="preserve"> January 2018</w:t>
      </w:r>
    </w:p>
    <w:tbl>
      <w:tblPr>
        <w:tblStyle w:val="TableGrid"/>
        <w:tblW w:w="14170" w:type="dxa"/>
        <w:tblLook w:val="04A0" w:firstRow="1" w:lastRow="0" w:firstColumn="1" w:lastColumn="0" w:noHBand="0" w:noVBand="1"/>
      </w:tblPr>
      <w:tblGrid>
        <w:gridCol w:w="3256"/>
        <w:gridCol w:w="5528"/>
        <w:gridCol w:w="5386"/>
      </w:tblGrid>
      <w:tr w:rsidR="00D43B0D" w:rsidRPr="00534835" w:rsidTr="00534835">
        <w:tc>
          <w:tcPr>
            <w:tcW w:w="3256" w:type="dxa"/>
            <w:shd w:val="clear" w:color="auto" w:fill="F7CAAC" w:themeFill="accent2" w:themeFillTint="66"/>
          </w:tcPr>
          <w:p w:rsidR="00D43B0D" w:rsidRPr="00534835" w:rsidRDefault="00534835" w:rsidP="00720C67">
            <w:pPr>
              <w:rPr>
                <w:rFonts w:ascii="Century Gothic" w:hAnsi="Century Gothic"/>
                <w:b/>
                <w:sz w:val="32"/>
                <w:szCs w:val="28"/>
              </w:rPr>
            </w:pPr>
            <w:r w:rsidRPr="00534835">
              <w:rPr>
                <w:rFonts w:ascii="Century Gothic" w:hAnsi="Century Gothic"/>
                <w:b/>
                <w:sz w:val="32"/>
                <w:szCs w:val="28"/>
              </w:rPr>
              <w:t>CLAIMING THE WORKFORCE DEVELOPMENT FUND</w:t>
            </w:r>
          </w:p>
        </w:tc>
        <w:tc>
          <w:tcPr>
            <w:tcW w:w="5528" w:type="dxa"/>
            <w:shd w:val="clear" w:color="auto" w:fill="F7CAAC" w:themeFill="accent2" w:themeFillTint="66"/>
          </w:tcPr>
          <w:p w:rsidR="00D43B0D" w:rsidRPr="00534835" w:rsidRDefault="00D43B0D" w:rsidP="00720C67">
            <w:pPr>
              <w:rPr>
                <w:rFonts w:ascii="Century Gothic" w:hAnsi="Century Gothic"/>
                <w:b/>
                <w:sz w:val="32"/>
                <w:szCs w:val="28"/>
              </w:rPr>
            </w:pPr>
            <w:r w:rsidRPr="00534835">
              <w:rPr>
                <w:rFonts w:ascii="Century Gothic" w:hAnsi="Century Gothic"/>
                <w:b/>
                <w:sz w:val="32"/>
                <w:szCs w:val="28"/>
              </w:rPr>
              <w:t>CHALLENGES</w:t>
            </w:r>
          </w:p>
        </w:tc>
        <w:tc>
          <w:tcPr>
            <w:tcW w:w="5386" w:type="dxa"/>
            <w:shd w:val="clear" w:color="auto" w:fill="F7CAAC" w:themeFill="accent2" w:themeFillTint="66"/>
          </w:tcPr>
          <w:p w:rsidR="00D43B0D" w:rsidRPr="00534835" w:rsidRDefault="00CD263B" w:rsidP="00720C67">
            <w:pPr>
              <w:rPr>
                <w:rFonts w:ascii="Century Gothic" w:hAnsi="Century Gothic"/>
                <w:b/>
                <w:sz w:val="32"/>
                <w:szCs w:val="28"/>
              </w:rPr>
            </w:pPr>
            <w:r>
              <w:rPr>
                <w:rFonts w:ascii="Century Gothic" w:hAnsi="Century Gothic"/>
                <w:b/>
                <w:sz w:val="32"/>
                <w:szCs w:val="28"/>
              </w:rPr>
              <w:t>SOLUTIONS</w:t>
            </w:r>
          </w:p>
        </w:tc>
      </w:tr>
      <w:tr w:rsidR="00D43B0D" w:rsidRPr="003953A2" w:rsidTr="00534835">
        <w:tc>
          <w:tcPr>
            <w:tcW w:w="3256" w:type="dxa"/>
            <w:vMerge w:val="restart"/>
            <w:textDirection w:val="btLr"/>
          </w:tcPr>
          <w:p w:rsidR="00D43B0D" w:rsidRDefault="00D43B0D" w:rsidP="00720C67">
            <w:pPr>
              <w:ind w:left="113" w:right="113"/>
              <w:jc w:val="center"/>
              <w:rPr>
                <w:rFonts w:ascii="Century Gothic" w:hAnsi="Century Gothic"/>
                <w:sz w:val="28"/>
                <w:szCs w:val="28"/>
              </w:rPr>
            </w:pPr>
          </w:p>
          <w:p w:rsidR="00D43B0D" w:rsidRPr="00534835" w:rsidRDefault="00534835" w:rsidP="00534835">
            <w:pPr>
              <w:ind w:left="113" w:right="113"/>
              <w:jc w:val="center"/>
              <w:rPr>
                <w:rFonts w:ascii="Century Gothic" w:hAnsi="Century Gothic"/>
                <w:b/>
                <w:sz w:val="48"/>
                <w:szCs w:val="28"/>
              </w:rPr>
            </w:pPr>
            <w:r w:rsidRPr="00534835">
              <w:rPr>
                <w:rFonts w:ascii="Century Gothic" w:hAnsi="Century Gothic"/>
                <w:b/>
                <w:sz w:val="32"/>
                <w:szCs w:val="28"/>
              </w:rPr>
              <w:t>NATIONAL MINIMUM DATA SET – SOCIAL CARE (NMDS-SC)</w:t>
            </w:r>
          </w:p>
          <w:p w:rsidR="00534835" w:rsidRPr="00CC710E" w:rsidRDefault="00534835" w:rsidP="00720C67">
            <w:pPr>
              <w:ind w:left="113" w:right="113"/>
              <w:jc w:val="center"/>
              <w:rPr>
                <w:rFonts w:ascii="Century Gothic" w:hAnsi="Century Gothic"/>
                <w:b/>
                <w:sz w:val="28"/>
                <w:szCs w:val="28"/>
              </w:rPr>
            </w:pPr>
          </w:p>
        </w:tc>
        <w:tc>
          <w:tcPr>
            <w:tcW w:w="5528" w:type="dxa"/>
          </w:tcPr>
          <w:p w:rsidR="00D43B0D" w:rsidRPr="002F46A8" w:rsidRDefault="00534835" w:rsidP="00720C67">
            <w:pPr>
              <w:rPr>
                <w:rFonts w:ascii="Century Gothic" w:hAnsi="Century Gothic"/>
                <w:sz w:val="24"/>
                <w:szCs w:val="28"/>
              </w:rPr>
            </w:pPr>
            <w:r w:rsidRPr="002F46A8">
              <w:rPr>
                <w:rFonts w:ascii="Century Gothic" w:hAnsi="Century Gothic"/>
                <w:sz w:val="24"/>
                <w:szCs w:val="28"/>
              </w:rPr>
              <w:t>How do I register with NMDS-SC?</w:t>
            </w:r>
          </w:p>
        </w:tc>
        <w:tc>
          <w:tcPr>
            <w:tcW w:w="5386" w:type="dxa"/>
          </w:tcPr>
          <w:p w:rsidR="00D43B0D" w:rsidRPr="002F46A8" w:rsidRDefault="00534835" w:rsidP="00720C67">
            <w:pPr>
              <w:rPr>
                <w:rFonts w:ascii="Century Gothic" w:hAnsi="Century Gothic"/>
                <w:sz w:val="24"/>
                <w:szCs w:val="28"/>
              </w:rPr>
            </w:pPr>
            <w:r w:rsidRPr="002F46A8">
              <w:rPr>
                <w:rFonts w:ascii="Century Gothic" w:hAnsi="Century Gothic"/>
                <w:sz w:val="24"/>
                <w:szCs w:val="28"/>
              </w:rPr>
              <w:t xml:space="preserve">All the information on how to use the NMDS-SC, together with videos, an e-guide and </w:t>
            </w:r>
            <w:r w:rsidR="002F46A8" w:rsidRPr="002F46A8">
              <w:rPr>
                <w:rFonts w:ascii="Century Gothic" w:hAnsi="Century Gothic"/>
                <w:sz w:val="24"/>
                <w:szCs w:val="28"/>
              </w:rPr>
              <w:t xml:space="preserve">a ‘How to begin’ tutorial can be found at: </w:t>
            </w:r>
            <w:hyperlink r:id="rId7" w:history="1">
              <w:r w:rsidR="002F46A8" w:rsidRPr="002F46A8">
                <w:rPr>
                  <w:rStyle w:val="Hyperlink"/>
                  <w:rFonts w:ascii="Century Gothic" w:hAnsi="Century Gothic"/>
                  <w:sz w:val="24"/>
                  <w:szCs w:val="28"/>
                </w:rPr>
                <w:t>https://www.nmds-sc-online.org.uk/content/About.aspx</w:t>
              </w:r>
            </w:hyperlink>
            <w:r w:rsidR="002F46A8" w:rsidRPr="002F46A8">
              <w:rPr>
                <w:rFonts w:ascii="Century Gothic" w:hAnsi="Century Gothic"/>
                <w:sz w:val="24"/>
                <w:szCs w:val="28"/>
              </w:rPr>
              <w:t xml:space="preserve"> </w:t>
            </w:r>
          </w:p>
          <w:p w:rsidR="00D43B0D" w:rsidRPr="002F46A8" w:rsidRDefault="00D43B0D" w:rsidP="00720C67">
            <w:pPr>
              <w:rPr>
                <w:rFonts w:ascii="Century Gothic" w:hAnsi="Century Gothic"/>
                <w:sz w:val="24"/>
                <w:szCs w:val="28"/>
              </w:rPr>
            </w:pPr>
          </w:p>
        </w:tc>
      </w:tr>
      <w:tr w:rsidR="00D43B0D" w:rsidRPr="003953A2" w:rsidTr="00534835">
        <w:tc>
          <w:tcPr>
            <w:tcW w:w="3256" w:type="dxa"/>
            <w:vMerge/>
          </w:tcPr>
          <w:p w:rsidR="00D43B0D" w:rsidRPr="003953A2" w:rsidRDefault="00D43B0D" w:rsidP="00720C67">
            <w:pPr>
              <w:rPr>
                <w:rFonts w:ascii="Century Gothic" w:hAnsi="Century Gothic"/>
                <w:sz w:val="28"/>
                <w:szCs w:val="28"/>
              </w:rPr>
            </w:pPr>
          </w:p>
        </w:tc>
        <w:tc>
          <w:tcPr>
            <w:tcW w:w="5528" w:type="dxa"/>
          </w:tcPr>
          <w:p w:rsidR="00D43B0D" w:rsidRPr="002F46A8" w:rsidRDefault="00534835" w:rsidP="00720C67">
            <w:pPr>
              <w:rPr>
                <w:rFonts w:ascii="Century Gothic" w:hAnsi="Century Gothic"/>
                <w:sz w:val="24"/>
                <w:szCs w:val="28"/>
              </w:rPr>
            </w:pPr>
            <w:r w:rsidRPr="002F46A8">
              <w:rPr>
                <w:rFonts w:ascii="Century Gothic" w:hAnsi="Century Gothic"/>
                <w:sz w:val="24"/>
                <w:szCs w:val="28"/>
              </w:rPr>
              <w:t>How do I check our NMDS is up to date?</w:t>
            </w:r>
          </w:p>
        </w:tc>
        <w:tc>
          <w:tcPr>
            <w:tcW w:w="5386" w:type="dxa"/>
          </w:tcPr>
          <w:p w:rsidR="00D43B0D" w:rsidRPr="002F46A8" w:rsidRDefault="002F46A8" w:rsidP="00720C67">
            <w:pPr>
              <w:rPr>
                <w:rFonts w:ascii="Century Gothic" w:hAnsi="Century Gothic"/>
                <w:sz w:val="24"/>
                <w:szCs w:val="28"/>
              </w:rPr>
            </w:pPr>
            <w:r w:rsidRPr="002F46A8">
              <w:rPr>
                <w:rFonts w:ascii="Century Gothic" w:hAnsi="Century Gothic"/>
                <w:sz w:val="24"/>
                <w:szCs w:val="28"/>
              </w:rPr>
              <w:t xml:space="preserve">Telephone support is available from Skills for Care on:  </w:t>
            </w:r>
            <w:r w:rsidRPr="002F46A8">
              <w:rPr>
                <w:rFonts w:ascii="Century Gothic" w:hAnsi="Century Gothic"/>
                <w:b/>
                <w:sz w:val="24"/>
                <w:szCs w:val="28"/>
              </w:rPr>
              <w:t>0845 873 0129</w:t>
            </w:r>
            <w:r w:rsidRPr="002F46A8">
              <w:rPr>
                <w:rFonts w:ascii="Century Gothic" w:hAnsi="Century Gothic"/>
                <w:sz w:val="24"/>
                <w:szCs w:val="28"/>
              </w:rPr>
              <w:t> </w:t>
            </w:r>
          </w:p>
        </w:tc>
      </w:tr>
      <w:tr w:rsidR="00D43B0D" w:rsidRPr="003953A2" w:rsidTr="00534835">
        <w:tc>
          <w:tcPr>
            <w:tcW w:w="3256" w:type="dxa"/>
            <w:vMerge/>
          </w:tcPr>
          <w:p w:rsidR="00D43B0D" w:rsidRPr="003953A2" w:rsidRDefault="00D43B0D" w:rsidP="00720C67">
            <w:pPr>
              <w:rPr>
                <w:rFonts w:ascii="Century Gothic" w:hAnsi="Century Gothic"/>
                <w:sz w:val="28"/>
                <w:szCs w:val="28"/>
              </w:rPr>
            </w:pPr>
          </w:p>
        </w:tc>
        <w:tc>
          <w:tcPr>
            <w:tcW w:w="5528" w:type="dxa"/>
          </w:tcPr>
          <w:p w:rsidR="00D43B0D" w:rsidRPr="002F46A8" w:rsidRDefault="00534835" w:rsidP="00720C67">
            <w:pPr>
              <w:rPr>
                <w:rFonts w:ascii="Century Gothic" w:hAnsi="Century Gothic"/>
                <w:sz w:val="24"/>
                <w:szCs w:val="28"/>
              </w:rPr>
            </w:pPr>
            <w:r w:rsidRPr="002F46A8">
              <w:rPr>
                <w:rFonts w:ascii="Century Gothic" w:hAnsi="Century Gothic"/>
                <w:sz w:val="24"/>
                <w:szCs w:val="28"/>
              </w:rPr>
              <w:t>Why is it necessary to complete the NMDS-SC?</w:t>
            </w:r>
          </w:p>
        </w:tc>
        <w:tc>
          <w:tcPr>
            <w:tcW w:w="5386" w:type="dxa"/>
          </w:tcPr>
          <w:p w:rsidR="00D43B0D" w:rsidRPr="002F46A8" w:rsidRDefault="002F46A8" w:rsidP="00720C67">
            <w:pPr>
              <w:rPr>
                <w:rFonts w:ascii="Century Gothic" w:hAnsi="Century Gothic"/>
                <w:sz w:val="24"/>
                <w:szCs w:val="28"/>
              </w:rPr>
            </w:pPr>
            <w:r w:rsidRPr="002F46A8">
              <w:rPr>
                <w:rFonts w:ascii="Century Gothic" w:hAnsi="Century Gothic"/>
                <w:sz w:val="24"/>
                <w:szCs w:val="28"/>
              </w:rPr>
              <w:t>The information is valuable to the Department of Health to provide information for inclusion in their ‘State of the Industry Report’ produced annually or bi-annually.  It is also the source of information to ensure funding can be targeted.</w:t>
            </w:r>
          </w:p>
        </w:tc>
      </w:tr>
      <w:tr w:rsidR="00534835" w:rsidRPr="003953A2" w:rsidTr="00201BEF">
        <w:trPr>
          <w:trHeight w:val="1040"/>
        </w:trPr>
        <w:tc>
          <w:tcPr>
            <w:tcW w:w="3256" w:type="dxa"/>
            <w:vMerge/>
          </w:tcPr>
          <w:p w:rsidR="00534835" w:rsidRPr="003953A2" w:rsidRDefault="00534835" w:rsidP="00720C67">
            <w:pPr>
              <w:rPr>
                <w:rFonts w:ascii="Century Gothic" w:hAnsi="Century Gothic"/>
                <w:sz w:val="28"/>
                <w:szCs w:val="28"/>
              </w:rPr>
            </w:pPr>
          </w:p>
        </w:tc>
        <w:tc>
          <w:tcPr>
            <w:tcW w:w="5528" w:type="dxa"/>
          </w:tcPr>
          <w:p w:rsidR="00534835" w:rsidRPr="002F46A8" w:rsidRDefault="00534835" w:rsidP="00720C67">
            <w:pPr>
              <w:rPr>
                <w:rFonts w:ascii="Century Gothic" w:hAnsi="Century Gothic"/>
                <w:sz w:val="24"/>
                <w:szCs w:val="28"/>
              </w:rPr>
            </w:pPr>
            <w:r w:rsidRPr="002F46A8">
              <w:rPr>
                <w:rFonts w:ascii="Century Gothic" w:hAnsi="Century Gothic"/>
                <w:sz w:val="24"/>
                <w:szCs w:val="28"/>
              </w:rPr>
              <w:t>What are the benefits of completing the NMDS-SC?</w:t>
            </w:r>
          </w:p>
        </w:tc>
        <w:tc>
          <w:tcPr>
            <w:tcW w:w="5386" w:type="dxa"/>
          </w:tcPr>
          <w:p w:rsidR="00534835" w:rsidRPr="002F46A8" w:rsidRDefault="002F46A8" w:rsidP="00720C67">
            <w:pPr>
              <w:rPr>
                <w:rFonts w:ascii="Century Gothic" w:hAnsi="Century Gothic"/>
                <w:sz w:val="24"/>
                <w:szCs w:val="28"/>
              </w:rPr>
            </w:pPr>
            <w:r w:rsidRPr="002F46A8">
              <w:rPr>
                <w:rFonts w:ascii="Century Gothic" w:hAnsi="Century Gothic"/>
                <w:sz w:val="24"/>
                <w:szCs w:val="28"/>
              </w:rPr>
              <w:t>Various benefits to businesses:</w:t>
            </w:r>
          </w:p>
          <w:p w:rsidR="002F46A8" w:rsidRPr="002F46A8" w:rsidRDefault="002F46A8" w:rsidP="002F46A8">
            <w:pPr>
              <w:pStyle w:val="ListParagraph"/>
              <w:numPr>
                <w:ilvl w:val="0"/>
                <w:numId w:val="3"/>
              </w:numPr>
              <w:rPr>
                <w:rFonts w:ascii="Century Gothic" w:hAnsi="Century Gothic"/>
                <w:sz w:val="24"/>
                <w:szCs w:val="28"/>
              </w:rPr>
            </w:pPr>
            <w:r w:rsidRPr="002F46A8">
              <w:rPr>
                <w:rFonts w:ascii="Century Gothic" w:hAnsi="Century Gothic"/>
                <w:sz w:val="24"/>
                <w:szCs w:val="28"/>
              </w:rPr>
              <w:t>Claiming the WDF</w:t>
            </w:r>
          </w:p>
          <w:p w:rsidR="002F46A8" w:rsidRPr="002F46A8" w:rsidRDefault="002F46A8" w:rsidP="002F46A8">
            <w:pPr>
              <w:pStyle w:val="ListParagraph"/>
              <w:numPr>
                <w:ilvl w:val="0"/>
                <w:numId w:val="3"/>
              </w:numPr>
              <w:rPr>
                <w:rFonts w:ascii="Century Gothic" w:hAnsi="Century Gothic"/>
                <w:sz w:val="24"/>
                <w:szCs w:val="28"/>
              </w:rPr>
            </w:pPr>
            <w:r w:rsidRPr="002F46A8">
              <w:rPr>
                <w:rFonts w:ascii="Century Gothic" w:hAnsi="Century Gothic"/>
                <w:sz w:val="24"/>
                <w:szCs w:val="28"/>
              </w:rPr>
              <w:t>Populating your annual PIR for CQC</w:t>
            </w:r>
          </w:p>
          <w:p w:rsidR="002F46A8" w:rsidRDefault="002F46A8" w:rsidP="002F46A8">
            <w:pPr>
              <w:pStyle w:val="ListParagraph"/>
              <w:numPr>
                <w:ilvl w:val="0"/>
                <w:numId w:val="3"/>
              </w:numPr>
              <w:rPr>
                <w:rFonts w:ascii="Century Gothic" w:hAnsi="Century Gothic"/>
                <w:sz w:val="24"/>
                <w:szCs w:val="28"/>
              </w:rPr>
            </w:pPr>
            <w:r w:rsidRPr="002F46A8">
              <w:rPr>
                <w:rFonts w:ascii="Century Gothic" w:hAnsi="Century Gothic"/>
                <w:sz w:val="24"/>
                <w:szCs w:val="28"/>
              </w:rPr>
              <w:t>Use of dashboards for business planning</w:t>
            </w:r>
          </w:p>
          <w:p w:rsidR="002F46A8" w:rsidRPr="002F46A8" w:rsidRDefault="002F46A8" w:rsidP="002F46A8">
            <w:pPr>
              <w:rPr>
                <w:rFonts w:ascii="Century Gothic" w:hAnsi="Century Gothic"/>
                <w:sz w:val="24"/>
                <w:szCs w:val="28"/>
              </w:rPr>
            </w:pPr>
            <w:r>
              <w:rPr>
                <w:rFonts w:ascii="Century Gothic" w:hAnsi="Century Gothic"/>
                <w:sz w:val="24"/>
                <w:szCs w:val="28"/>
              </w:rPr>
              <w:t xml:space="preserve">For more information on making the most of NMDS-SC visit:  </w:t>
            </w:r>
            <w:hyperlink r:id="rId8" w:history="1">
              <w:r w:rsidRPr="00745B41">
                <w:rPr>
                  <w:rStyle w:val="Hyperlink"/>
                  <w:rFonts w:ascii="Century Gothic" w:hAnsi="Century Gothic"/>
                  <w:sz w:val="24"/>
                  <w:szCs w:val="28"/>
                </w:rPr>
                <w:t>https://www.nmds-sc-online.org.uk/content/About.aspx</w:t>
              </w:r>
            </w:hyperlink>
            <w:r>
              <w:rPr>
                <w:rFonts w:ascii="Century Gothic" w:hAnsi="Century Gothic"/>
                <w:sz w:val="24"/>
                <w:szCs w:val="28"/>
              </w:rPr>
              <w:t xml:space="preserve"> </w:t>
            </w:r>
          </w:p>
          <w:p w:rsidR="002F46A8" w:rsidRPr="002F46A8" w:rsidRDefault="002F46A8" w:rsidP="002F46A8">
            <w:pPr>
              <w:pStyle w:val="ListParagraph"/>
              <w:rPr>
                <w:rFonts w:ascii="Century Gothic" w:hAnsi="Century Gothic"/>
                <w:sz w:val="24"/>
                <w:szCs w:val="28"/>
              </w:rPr>
            </w:pPr>
          </w:p>
        </w:tc>
      </w:tr>
    </w:tbl>
    <w:p w:rsidR="0002159C" w:rsidRDefault="0002159C">
      <w:r>
        <w:br w:type="page"/>
      </w:r>
    </w:p>
    <w:tbl>
      <w:tblPr>
        <w:tblStyle w:val="TableGrid"/>
        <w:tblpPr w:leftFromText="180" w:rightFromText="180" w:vertAnchor="text" w:tblpY="1"/>
        <w:tblOverlap w:val="never"/>
        <w:tblW w:w="14170" w:type="dxa"/>
        <w:tblLook w:val="04A0" w:firstRow="1" w:lastRow="0" w:firstColumn="1" w:lastColumn="0" w:noHBand="0" w:noVBand="1"/>
      </w:tblPr>
      <w:tblGrid>
        <w:gridCol w:w="3454"/>
        <w:gridCol w:w="5472"/>
        <w:gridCol w:w="5244"/>
      </w:tblGrid>
      <w:tr w:rsidR="00CD263B" w:rsidRPr="00CC710E" w:rsidTr="00E14762">
        <w:tc>
          <w:tcPr>
            <w:tcW w:w="3454" w:type="dxa"/>
            <w:shd w:val="clear" w:color="auto" w:fill="F7CAAC" w:themeFill="accent2" w:themeFillTint="66"/>
          </w:tcPr>
          <w:p w:rsidR="00CD263B" w:rsidRPr="00534835" w:rsidRDefault="00CD263B" w:rsidP="00CD263B">
            <w:pPr>
              <w:rPr>
                <w:rFonts w:ascii="Century Gothic" w:hAnsi="Century Gothic"/>
                <w:b/>
                <w:sz w:val="32"/>
                <w:szCs w:val="28"/>
              </w:rPr>
            </w:pPr>
            <w:r w:rsidRPr="00534835">
              <w:rPr>
                <w:rFonts w:ascii="Century Gothic" w:hAnsi="Century Gothic"/>
                <w:b/>
                <w:sz w:val="32"/>
                <w:szCs w:val="28"/>
              </w:rPr>
              <w:lastRenderedPageBreak/>
              <w:t>CLAIMING THE WORKFORCE DEVELOPMENT FUND</w:t>
            </w:r>
          </w:p>
        </w:tc>
        <w:tc>
          <w:tcPr>
            <w:tcW w:w="5472" w:type="dxa"/>
            <w:shd w:val="clear" w:color="auto" w:fill="F7CAAC" w:themeFill="accent2" w:themeFillTint="66"/>
          </w:tcPr>
          <w:p w:rsidR="00CD263B" w:rsidRPr="00534835" w:rsidRDefault="00CD263B" w:rsidP="00CD263B">
            <w:pPr>
              <w:rPr>
                <w:rFonts w:ascii="Century Gothic" w:hAnsi="Century Gothic"/>
                <w:b/>
                <w:sz w:val="32"/>
                <w:szCs w:val="28"/>
              </w:rPr>
            </w:pPr>
            <w:r w:rsidRPr="00534835">
              <w:rPr>
                <w:rFonts w:ascii="Century Gothic" w:hAnsi="Century Gothic"/>
                <w:b/>
                <w:sz w:val="32"/>
                <w:szCs w:val="28"/>
              </w:rPr>
              <w:t>CHALLENGES</w:t>
            </w:r>
          </w:p>
        </w:tc>
        <w:tc>
          <w:tcPr>
            <w:tcW w:w="5244" w:type="dxa"/>
            <w:shd w:val="clear" w:color="auto" w:fill="F7CAAC" w:themeFill="accent2" w:themeFillTint="66"/>
          </w:tcPr>
          <w:p w:rsidR="00CD263B" w:rsidRPr="00534835" w:rsidRDefault="00CD263B" w:rsidP="00CD263B">
            <w:pPr>
              <w:rPr>
                <w:rFonts w:ascii="Century Gothic" w:hAnsi="Century Gothic"/>
                <w:b/>
                <w:sz w:val="32"/>
                <w:szCs w:val="28"/>
              </w:rPr>
            </w:pPr>
            <w:r>
              <w:rPr>
                <w:rFonts w:ascii="Century Gothic" w:hAnsi="Century Gothic"/>
                <w:b/>
                <w:sz w:val="32"/>
                <w:szCs w:val="28"/>
              </w:rPr>
              <w:t>SOLUTIONS</w:t>
            </w:r>
          </w:p>
        </w:tc>
      </w:tr>
      <w:tr w:rsidR="00E14762" w:rsidRPr="003953A2" w:rsidTr="00E14762">
        <w:tc>
          <w:tcPr>
            <w:tcW w:w="3454" w:type="dxa"/>
            <w:vMerge w:val="restart"/>
            <w:textDirection w:val="btLr"/>
          </w:tcPr>
          <w:p w:rsidR="00E14762" w:rsidRDefault="00E14762" w:rsidP="008B22D7">
            <w:pPr>
              <w:ind w:left="113" w:right="113"/>
              <w:rPr>
                <w:rFonts w:ascii="Century Gothic" w:hAnsi="Century Gothic"/>
                <w:b/>
                <w:sz w:val="44"/>
                <w:szCs w:val="28"/>
              </w:rPr>
            </w:pPr>
          </w:p>
          <w:p w:rsidR="00E14762" w:rsidRDefault="00E14762" w:rsidP="008B22D7">
            <w:pPr>
              <w:ind w:left="113" w:right="113"/>
              <w:rPr>
                <w:rFonts w:ascii="Century Gothic" w:hAnsi="Century Gothic"/>
                <w:b/>
                <w:sz w:val="44"/>
                <w:szCs w:val="28"/>
              </w:rPr>
            </w:pPr>
          </w:p>
          <w:p w:rsidR="00E14762" w:rsidRDefault="00E14762" w:rsidP="0002159C">
            <w:pPr>
              <w:ind w:left="113" w:right="113"/>
              <w:jc w:val="center"/>
              <w:rPr>
                <w:rFonts w:ascii="Century Gothic" w:hAnsi="Century Gothic"/>
                <w:b/>
                <w:sz w:val="44"/>
                <w:szCs w:val="28"/>
              </w:rPr>
            </w:pPr>
            <w:r>
              <w:rPr>
                <w:rFonts w:ascii="Century Gothic" w:hAnsi="Century Gothic"/>
                <w:b/>
                <w:sz w:val="44"/>
                <w:szCs w:val="28"/>
              </w:rPr>
              <w:t>THE CLAIMS PROCESS</w:t>
            </w:r>
          </w:p>
          <w:p w:rsidR="00E14762" w:rsidRDefault="00E14762" w:rsidP="008B22D7">
            <w:pPr>
              <w:ind w:left="113" w:right="113"/>
              <w:rPr>
                <w:rFonts w:ascii="Century Gothic" w:hAnsi="Century Gothic"/>
                <w:b/>
                <w:sz w:val="44"/>
                <w:szCs w:val="28"/>
              </w:rPr>
            </w:pPr>
          </w:p>
          <w:p w:rsidR="00E14762" w:rsidRDefault="00E14762" w:rsidP="008B22D7">
            <w:pPr>
              <w:ind w:left="113" w:right="113"/>
              <w:rPr>
                <w:rFonts w:ascii="Century Gothic" w:hAnsi="Century Gothic"/>
                <w:b/>
                <w:sz w:val="44"/>
                <w:szCs w:val="28"/>
              </w:rPr>
            </w:pPr>
          </w:p>
          <w:p w:rsidR="00E14762" w:rsidRPr="008B22D7" w:rsidRDefault="00E14762" w:rsidP="008B22D7">
            <w:pPr>
              <w:ind w:left="113" w:right="113"/>
              <w:rPr>
                <w:rFonts w:ascii="Century Gothic" w:hAnsi="Century Gothic"/>
                <w:b/>
                <w:sz w:val="44"/>
                <w:szCs w:val="28"/>
              </w:rPr>
            </w:pPr>
          </w:p>
        </w:tc>
        <w:tc>
          <w:tcPr>
            <w:tcW w:w="5472" w:type="dxa"/>
          </w:tcPr>
          <w:p w:rsidR="00E14762" w:rsidRPr="00F04A5E" w:rsidRDefault="00E14762" w:rsidP="00720C67">
            <w:pPr>
              <w:rPr>
                <w:rFonts w:ascii="Century Gothic" w:hAnsi="Century Gothic"/>
                <w:sz w:val="24"/>
                <w:szCs w:val="28"/>
              </w:rPr>
            </w:pPr>
            <w:r w:rsidRPr="00F04A5E">
              <w:rPr>
                <w:rFonts w:ascii="Century Gothic" w:hAnsi="Century Gothic"/>
                <w:sz w:val="24"/>
                <w:szCs w:val="28"/>
              </w:rPr>
              <w:t>What process do I follow</w:t>
            </w:r>
            <w:r>
              <w:rPr>
                <w:rFonts w:ascii="Century Gothic" w:hAnsi="Century Gothic"/>
                <w:sz w:val="24"/>
                <w:szCs w:val="28"/>
              </w:rPr>
              <w:t>?</w:t>
            </w:r>
          </w:p>
        </w:tc>
        <w:tc>
          <w:tcPr>
            <w:tcW w:w="5244" w:type="dxa"/>
          </w:tcPr>
          <w:p w:rsidR="00E14762" w:rsidRPr="00F04A5E" w:rsidRDefault="00E14762" w:rsidP="00720C67">
            <w:pPr>
              <w:rPr>
                <w:rFonts w:ascii="Century Gothic" w:hAnsi="Century Gothic"/>
                <w:sz w:val="24"/>
                <w:szCs w:val="28"/>
              </w:rPr>
            </w:pPr>
            <w:r w:rsidRPr="00F04A5E">
              <w:rPr>
                <w:rFonts w:ascii="Century Gothic" w:hAnsi="Century Gothic"/>
                <w:sz w:val="24"/>
                <w:szCs w:val="28"/>
              </w:rPr>
              <w:t>Refer to slides provided from Workshop on 26</w:t>
            </w:r>
            <w:r w:rsidRPr="00F04A5E">
              <w:rPr>
                <w:rFonts w:ascii="Century Gothic" w:hAnsi="Century Gothic"/>
                <w:sz w:val="24"/>
                <w:szCs w:val="28"/>
                <w:vertAlign w:val="superscript"/>
              </w:rPr>
              <w:t>th</w:t>
            </w:r>
            <w:r w:rsidRPr="00F04A5E">
              <w:rPr>
                <w:rFonts w:ascii="Century Gothic" w:hAnsi="Century Gothic"/>
                <w:sz w:val="24"/>
                <w:szCs w:val="28"/>
              </w:rPr>
              <w:t xml:space="preserve"> Jan 2018.  Also all information can be found on the Skills for Care Website:  </w:t>
            </w:r>
            <w:hyperlink r:id="rId9" w:history="1">
              <w:r w:rsidRPr="00F04A5E">
                <w:rPr>
                  <w:rStyle w:val="Hyperlink"/>
                  <w:rFonts w:ascii="Century Gothic" w:hAnsi="Century Gothic"/>
                  <w:sz w:val="24"/>
                  <w:szCs w:val="28"/>
                </w:rPr>
                <w:t>http://www.skillsforcare.org.uk/Learning-development/Funding/Workforce-Development-Fund/Workforce-Development-Fund.aspx</w:t>
              </w:r>
            </w:hyperlink>
            <w:r w:rsidRPr="00F04A5E">
              <w:rPr>
                <w:rFonts w:ascii="Century Gothic" w:hAnsi="Century Gothic"/>
                <w:sz w:val="24"/>
                <w:szCs w:val="28"/>
              </w:rPr>
              <w:t xml:space="preserve"> </w:t>
            </w:r>
          </w:p>
        </w:tc>
      </w:tr>
      <w:tr w:rsidR="00E14762" w:rsidRPr="003953A2" w:rsidTr="00E14762">
        <w:tc>
          <w:tcPr>
            <w:tcW w:w="3454" w:type="dxa"/>
            <w:vMerge/>
          </w:tcPr>
          <w:p w:rsidR="00E14762" w:rsidRPr="003953A2" w:rsidRDefault="00E14762" w:rsidP="00720C67">
            <w:pPr>
              <w:rPr>
                <w:rFonts w:ascii="Century Gothic" w:hAnsi="Century Gothic"/>
                <w:sz w:val="28"/>
                <w:szCs w:val="28"/>
              </w:rPr>
            </w:pPr>
          </w:p>
        </w:tc>
        <w:tc>
          <w:tcPr>
            <w:tcW w:w="5472" w:type="dxa"/>
          </w:tcPr>
          <w:p w:rsidR="00E14762" w:rsidRPr="00F04A5E" w:rsidRDefault="00E14762" w:rsidP="00720C67">
            <w:pPr>
              <w:rPr>
                <w:rFonts w:ascii="Century Gothic" w:hAnsi="Century Gothic"/>
                <w:sz w:val="24"/>
                <w:szCs w:val="28"/>
              </w:rPr>
            </w:pPr>
            <w:r>
              <w:rPr>
                <w:rFonts w:ascii="Century Gothic" w:hAnsi="Century Gothic"/>
                <w:sz w:val="24"/>
                <w:szCs w:val="28"/>
              </w:rPr>
              <w:t>Who should be our WDF Partner?</w:t>
            </w:r>
          </w:p>
        </w:tc>
        <w:tc>
          <w:tcPr>
            <w:tcW w:w="5244" w:type="dxa"/>
          </w:tcPr>
          <w:p w:rsidR="00E14762" w:rsidRPr="00F04A5E" w:rsidRDefault="00E14762" w:rsidP="0039646D">
            <w:pPr>
              <w:rPr>
                <w:rFonts w:ascii="Century Gothic" w:hAnsi="Century Gothic"/>
                <w:sz w:val="24"/>
                <w:szCs w:val="28"/>
              </w:rPr>
            </w:pPr>
            <w:r>
              <w:rPr>
                <w:rFonts w:ascii="Century Gothic" w:hAnsi="Century Gothic"/>
                <w:sz w:val="24"/>
                <w:szCs w:val="28"/>
              </w:rPr>
              <w:t>There are several WDF Partnerships across the country. An employer can belong to any WDF Partner, but only one at any one time.  A list of Partnerships can be found on the Skills for Care website</w:t>
            </w:r>
          </w:p>
        </w:tc>
      </w:tr>
      <w:tr w:rsidR="00E14762" w:rsidRPr="003953A2" w:rsidTr="00E14762">
        <w:tc>
          <w:tcPr>
            <w:tcW w:w="3454" w:type="dxa"/>
            <w:vMerge/>
          </w:tcPr>
          <w:p w:rsidR="00E14762" w:rsidRPr="003953A2" w:rsidRDefault="00E14762" w:rsidP="00720C67">
            <w:pPr>
              <w:rPr>
                <w:rFonts w:ascii="Century Gothic" w:hAnsi="Century Gothic"/>
                <w:sz w:val="28"/>
                <w:szCs w:val="28"/>
              </w:rPr>
            </w:pPr>
          </w:p>
        </w:tc>
        <w:tc>
          <w:tcPr>
            <w:tcW w:w="5472" w:type="dxa"/>
          </w:tcPr>
          <w:p w:rsidR="00E14762" w:rsidRPr="00F04A5E" w:rsidRDefault="00E14762" w:rsidP="00720C67">
            <w:pPr>
              <w:rPr>
                <w:rFonts w:ascii="Century Gothic" w:hAnsi="Century Gothic"/>
                <w:sz w:val="24"/>
                <w:szCs w:val="28"/>
              </w:rPr>
            </w:pPr>
            <w:r>
              <w:rPr>
                <w:rFonts w:ascii="Century Gothic" w:hAnsi="Century Gothic"/>
                <w:sz w:val="24"/>
                <w:szCs w:val="28"/>
              </w:rPr>
              <w:t>Who can help me complete the paperwork?</w:t>
            </w:r>
          </w:p>
        </w:tc>
        <w:tc>
          <w:tcPr>
            <w:tcW w:w="5244" w:type="dxa"/>
          </w:tcPr>
          <w:p w:rsidR="00E14762" w:rsidRPr="00F04A5E" w:rsidRDefault="00E14762" w:rsidP="00720C67">
            <w:pPr>
              <w:rPr>
                <w:rFonts w:ascii="Century Gothic" w:hAnsi="Century Gothic"/>
                <w:sz w:val="24"/>
                <w:szCs w:val="28"/>
              </w:rPr>
            </w:pPr>
            <w:r>
              <w:rPr>
                <w:rFonts w:ascii="Century Gothic" w:hAnsi="Century Gothic"/>
                <w:sz w:val="24"/>
                <w:szCs w:val="28"/>
              </w:rPr>
              <w:t xml:space="preserve">Your Partnership should be able to help you to complete the paperwork.  For Optimum employers they can email </w:t>
            </w:r>
            <w:hyperlink r:id="rId10" w:history="1">
              <w:r w:rsidRPr="00745B41">
                <w:rPr>
                  <w:rStyle w:val="Hyperlink"/>
                  <w:rFonts w:ascii="Century Gothic" w:hAnsi="Century Gothic"/>
                  <w:sz w:val="24"/>
                  <w:szCs w:val="28"/>
                </w:rPr>
                <w:t>istraining@nottscc.gov.uk</w:t>
              </w:r>
            </w:hyperlink>
            <w:r>
              <w:rPr>
                <w:rFonts w:ascii="Century Gothic" w:hAnsi="Century Gothic"/>
                <w:sz w:val="24"/>
                <w:szCs w:val="28"/>
              </w:rPr>
              <w:t xml:space="preserve"> or contact 0115 9774288 in the first instance or 0115 9772923 for help and guidance.</w:t>
            </w:r>
          </w:p>
        </w:tc>
      </w:tr>
      <w:tr w:rsidR="00E14762" w:rsidRPr="003953A2" w:rsidTr="00E14762">
        <w:tc>
          <w:tcPr>
            <w:tcW w:w="3454" w:type="dxa"/>
            <w:vMerge/>
          </w:tcPr>
          <w:p w:rsidR="00E14762" w:rsidRPr="003953A2" w:rsidRDefault="00E14762" w:rsidP="00720C67">
            <w:pPr>
              <w:rPr>
                <w:rFonts w:ascii="Century Gothic" w:hAnsi="Century Gothic"/>
                <w:sz w:val="28"/>
                <w:szCs w:val="28"/>
              </w:rPr>
            </w:pPr>
          </w:p>
        </w:tc>
        <w:tc>
          <w:tcPr>
            <w:tcW w:w="5472" w:type="dxa"/>
          </w:tcPr>
          <w:p w:rsidR="00E14762" w:rsidRPr="00F04A5E" w:rsidRDefault="00E14762" w:rsidP="00720C67">
            <w:pPr>
              <w:rPr>
                <w:rFonts w:ascii="Century Gothic" w:hAnsi="Century Gothic"/>
                <w:sz w:val="24"/>
                <w:szCs w:val="28"/>
              </w:rPr>
            </w:pPr>
            <w:r>
              <w:rPr>
                <w:rFonts w:ascii="Century Gothic" w:hAnsi="Century Gothic"/>
                <w:sz w:val="24"/>
                <w:szCs w:val="28"/>
              </w:rPr>
              <w:t>When should I claim?</w:t>
            </w:r>
          </w:p>
        </w:tc>
        <w:tc>
          <w:tcPr>
            <w:tcW w:w="5244" w:type="dxa"/>
          </w:tcPr>
          <w:p w:rsidR="00E14762" w:rsidRPr="00F04A5E" w:rsidRDefault="00E14762" w:rsidP="00E14762">
            <w:pPr>
              <w:rPr>
                <w:rFonts w:ascii="Century Gothic" w:hAnsi="Century Gothic"/>
                <w:sz w:val="24"/>
                <w:szCs w:val="28"/>
              </w:rPr>
            </w:pPr>
            <w:r>
              <w:rPr>
                <w:rFonts w:ascii="Century Gothic" w:hAnsi="Century Gothic"/>
                <w:sz w:val="24"/>
                <w:szCs w:val="28"/>
              </w:rPr>
              <w:t>As soon as a unit has been completed to ensure that you have the best opportunity of receiving the funding.  The grant is awarded for a financial year from April to March.  Claims can be made for units achieved between the January of that year through to the end of March the following year – ie a 15 month period.</w:t>
            </w:r>
          </w:p>
        </w:tc>
      </w:tr>
      <w:tr w:rsidR="00E14762" w:rsidRPr="003953A2" w:rsidTr="00E14762">
        <w:tc>
          <w:tcPr>
            <w:tcW w:w="3454" w:type="dxa"/>
            <w:vMerge/>
          </w:tcPr>
          <w:p w:rsidR="00E14762" w:rsidRPr="003953A2" w:rsidRDefault="00E14762" w:rsidP="00720C67">
            <w:pPr>
              <w:rPr>
                <w:rFonts w:ascii="Century Gothic" w:hAnsi="Century Gothic"/>
                <w:sz w:val="28"/>
                <w:szCs w:val="28"/>
              </w:rPr>
            </w:pPr>
          </w:p>
        </w:tc>
        <w:tc>
          <w:tcPr>
            <w:tcW w:w="5472" w:type="dxa"/>
          </w:tcPr>
          <w:p w:rsidR="00E14762" w:rsidRPr="00F04A5E" w:rsidRDefault="00E14762" w:rsidP="00F04A5E">
            <w:pPr>
              <w:rPr>
                <w:rFonts w:ascii="Century Gothic" w:hAnsi="Century Gothic"/>
                <w:sz w:val="24"/>
                <w:szCs w:val="28"/>
              </w:rPr>
            </w:pPr>
            <w:r>
              <w:rPr>
                <w:rFonts w:ascii="Century Gothic" w:hAnsi="Century Gothic"/>
                <w:sz w:val="24"/>
                <w:szCs w:val="28"/>
              </w:rPr>
              <w:t>How much can I claim per employee?</w:t>
            </w:r>
          </w:p>
        </w:tc>
        <w:tc>
          <w:tcPr>
            <w:tcW w:w="5244" w:type="dxa"/>
          </w:tcPr>
          <w:p w:rsidR="00E14762" w:rsidRPr="00F04A5E" w:rsidRDefault="00E14762" w:rsidP="00720C67">
            <w:pPr>
              <w:rPr>
                <w:rFonts w:ascii="Century Gothic" w:hAnsi="Century Gothic"/>
                <w:sz w:val="24"/>
                <w:szCs w:val="28"/>
              </w:rPr>
            </w:pPr>
            <w:r>
              <w:rPr>
                <w:rFonts w:ascii="Century Gothic" w:hAnsi="Century Gothic"/>
                <w:sz w:val="24"/>
                <w:szCs w:val="28"/>
              </w:rPr>
              <w:t>There is a maximum of 60 credits that can be claimed in any one year (£900 per employee)</w:t>
            </w:r>
          </w:p>
        </w:tc>
      </w:tr>
      <w:tr w:rsidR="00E14762" w:rsidRPr="003953A2" w:rsidTr="00E14762">
        <w:tc>
          <w:tcPr>
            <w:tcW w:w="3454" w:type="dxa"/>
            <w:vMerge/>
          </w:tcPr>
          <w:p w:rsidR="00E14762" w:rsidRPr="003953A2" w:rsidRDefault="00E14762" w:rsidP="00720C67">
            <w:pPr>
              <w:rPr>
                <w:rFonts w:ascii="Century Gothic" w:hAnsi="Century Gothic"/>
                <w:sz w:val="28"/>
                <w:szCs w:val="28"/>
              </w:rPr>
            </w:pPr>
          </w:p>
        </w:tc>
        <w:tc>
          <w:tcPr>
            <w:tcW w:w="5472" w:type="dxa"/>
          </w:tcPr>
          <w:p w:rsidR="00E14762" w:rsidRPr="00F04A5E" w:rsidRDefault="00E14762" w:rsidP="00720C67">
            <w:pPr>
              <w:rPr>
                <w:rFonts w:ascii="Century Gothic" w:hAnsi="Century Gothic"/>
                <w:sz w:val="24"/>
                <w:szCs w:val="28"/>
              </w:rPr>
            </w:pPr>
            <w:r>
              <w:rPr>
                <w:rFonts w:ascii="Century Gothic" w:hAnsi="Century Gothic"/>
                <w:sz w:val="24"/>
                <w:szCs w:val="28"/>
              </w:rPr>
              <w:t>Can I claim for apprentices and employees who have been received fully funded training?</w:t>
            </w:r>
          </w:p>
        </w:tc>
        <w:tc>
          <w:tcPr>
            <w:tcW w:w="5244" w:type="dxa"/>
          </w:tcPr>
          <w:p w:rsidR="00E14762" w:rsidRPr="00F04A5E" w:rsidRDefault="00E14762" w:rsidP="00E14762">
            <w:pPr>
              <w:rPr>
                <w:rFonts w:ascii="Century Gothic" w:hAnsi="Century Gothic"/>
                <w:sz w:val="24"/>
                <w:szCs w:val="28"/>
              </w:rPr>
            </w:pPr>
            <w:r>
              <w:rPr>
                <w:rFonts w:ascii="Century Gothic" w:hAnsi="Century Gothic"/>
                <w:sz w:val="24"/>
                <w:szCs w:val="28"/>
              </w:rPr>
              <w:t>Yes this is not counted as double funding because although the tuition fees will have been paid for Skills for Care recognises that there are added costs relating to backfill of the post whilst the employee is in a learning situation and other potential costs relating to learning resources and on the job training.</w:t>
            </w:r>
          </w:p>
        </w:tc>
      </w:tr>
      <w:tr w:rsidR="00E14762" w:rsidRPr="003953A2" w:rsidTr="00E14762">
        <w:tc>
          <w:tcPr>
            <w:tcW w:w="3454" w:type="dxa"/>
            <w:vMerge/>
          </w:tcPr>
          <w:p w:rsidR="00E14762" w:rsidRPr="003953A2" w:rsidRDefault="00E14762" w:rsidP="00720C67">
            <w:pPr>
              <w:rPr>
                <w:rFonts w:ascii="Century Gothic" w:hAnsi="Century Gothic"/>
                <w:sz w:val="28"/>
                <w:szCs w:val="28"/>
              </w:rPr>
            </w:pPr>
          </w:p>
        </w:tc>
        <w:tc>
          <w:tcPr>
            <w:tcW w:w="5472" w:type="dxa"/>
          </w:tcPr>
          <w:p w:rsidR="00E14762" w:rsidRDefault="00E14762" w:rsidP="00720C67">
            <w:pPr>
              <w:rPr>
                <w:rFonts w:ascii="Century Gothic" w:hAnsi="Century Gothic"/>
                <w:sz w:val="24"/>
                <w:szCs w:val="28"/>
              </w:rPr>
            </w:pPr>
            <w:r>
              <w:rPr>
                <w:rFonts w:ascii="Century Gothic" w:hAnsi="Century Gothic"/>
                <w:sz w:val="24"/>
                <w:szCs w:val="28"/>
              </w:rPr>
              <w:t>Will I be guaranteed to receive the full amount of my claim?</w:t>
            </w:r>
          </w:p>
        </w:tc>
        <w:tc>
          <w:tcPr>
            <w:tcW w:w="5244" w:type="dxa"/>
          </w:tcPr>
          <w:p w:rsidR="00E14762" w:rsidRDefault="00E14762" w:rsidP="00E14762">
            <w:pPr>
              <w:rPr>
                <w:rFonts w:ascii="Century Gothic" w:hAnsi="Century Gothic"/>
                <w:sz w:val="24"/>
                <w:szCs w:val="28"/>
              </w:rPr>
            </w:pPr>
            <w:r>
              <w:rPr>
                <w:rFonts w:ascii="Century Gothic" w:hAnsi="Century Gothic"/>
                <w:sz w:val="24"/>
                <w:szCs w:val="28"/>
              </w:rPr>
              <w:t>The Workforce Development Fund is not a guaranteed payment.  The pot is limited and Optimum are required to disseminate it as widely as possible to as many different employers as possible whilst meeting the milestones set.</w:t>
            </w:r>
          </w:p>
          <w:p w:rsidR="00815707" w:rsidRDefault="00815707" w:rsidP="00E14762">
            <w:pPr>
              <w:rPr>
                <w:rFonts w:ascii="Century Gothic" w:hAnsi="Century Gothic"/>
                <w:sz w:val="24"/>
                <w:szCs w:val="28"/>
              </w:rPr>
            </w:pPr>
          </w:p>
          <w:p w:rsidR="00815707" w:rsidRDefault="00815707" w:rsidP="00815707">
            <w:pPr>
              <w:rPr>
                <w:rFonts w:ascii="Century Gothic" w:hAnsi="Century Gothic"/>
                <w:sz w:val="24"/>
                <w:szCs w:val="28"/>
              </w:rPr>
            </w:pPr>
            <w:r>
              <w:rPr>
                <w:rFonts w:ascii="Century Gothic" w:hAnsi="Century Gothic"/>
                <w:sz w:val="24"/>
                <w:szCs w:val="28"/>
              </w:rPr>
              <w:t>The Workforce Development Fund should be viewed as a ‘contribution’ to the employers learning and development budget.  Social Care is the only sector that receives funding in this way and is informed by the information received through NMDS-SC.</w:t>
            </w:r>
          </w:p>
        </w:tc>
      </w:tr>
    </w:tbl>
    <w:p w:rsidR="00A12FAD" w:rsidRDefault="00A12FAD">
      <w:r>
        <w:br w:type="page"/>
      </w:r>
    </w:p>
    <w:tbl>
      <w:tblPr>
        <w:tblStyle w:val="TableGrid"/>
        <w:tblpPr w:leftFromText="180" w:rightFromText="180" w:vertAnchor="text" w:tblpY="1"/>
        <w:tblOverlap w:val="never"/>
        <w:tblW w:w="14170" w:type="dxa"/>
        <w:tblLook w:val="04A0" w:firstRow="1" w:lastRow="0" w:firstColumn="1" w:lastColumn="0" w:noHBand="0" w:noVBand="1"/>
      </w:tblPr>
      <w:tblGrid>
        <w:gridCol w:w="3397"/>
        <w:gridCol w:w="4395"/>
        <w:gridCol w:w="6378"/>
      </w:tblGrid>
      <w:tr w:rsidR="00F04A5E" w:rsidRPr="00CC710E" w:rsidTr="006B5E59">
        <w:tc>
          <w:tcPr>
            <w:tcW w:w="3397" w:type="dxa"/>
            <w:shd w:val="clear" w:color="auto" w:fill="F7CAAC" w:themeFill="accent2" w:themeFillTint="66"/>
          </w:tcPr>
          <w:p w:rsidR="00F04A5E" w:rsidRPr="00534835" w:rsidRDefault="00F04A5E" w:rsidP="00F04A5E">
            <w:pPr>
              <w:rPr>
                <w:rFonts w:ascii="Century Gothic" w:hAnsi="Century Gothic"/>
                <w:b/>
                <w:sz w:val="32"/>
                <w:szCs w:val="28"/>
              </w:rPr>
            </w:pPr>
            <w:r w:rsidRPr="00534835">
              <w:rPr>
                <w:rFonts w:ascii="Century Gothic" w:hAnsi="Century Gothic"/>
                <w:b/>
                <w:sz w:val="32"/>
                <w:szCs w:val="28"/>
              </w:rPr>
              <w:lastRenderedPageBreak/>
              <w:t>CLAIMING THE WORKFORCE DEVELOPMENT FUND</w:t>
            </w:r>
          </w:p>
        </w:tc>
        <w:tc>
          <w:tcPr>
            <w:tcW w:w="4395" w:type="dxa"/>
            <w:shd w:val="clear" w:color="auto" w:fill="F7CAAC" w:themeFill="accent2" w:themeFillTint="66"/>
          </w:tcPr>
          <w:p w:rsidR="00F04A5E" w:rsidRPr="00534835" w:rsidRDefault="00F04A5E" w:rsidP="00F04A5E">
            <w:pPr>
              <w:rPr>
                <w:rFonts w:ascii="Century Gothic" w:hAnsi="Century Gothic"/>
                <w:b/>
                <w:sz w:val="32"/>
                <w:szCs w:val="28"/>
              </w:rPr>
            </w:pPr>
            <w:r w:rsidRPr="00534835">
              <w:rPr>
                <w:rFonts w:ascii="Century Gothic" w:hAnsi="Century Gothic"/>
                <w:b/>
                <w:sz w:val="32"/>
                <w:szCs w:val="28"/>
              </w:rPr>
              <w:t>CHALLENGES</w:t>
            </w:r>
          </w:p>
        </w:tc>
        <w:tc>
          <w:tcPr>
            <w:tcW w:w="6378" w:type="dxa"/>
            <w:shd w:val="clear" w:color="auto" w:fill="F7CAAC" w:themeFill="accent2" w:themeFillTint="66"/>
          </w:tcPr>
          <w:p w:rsidR="00F04A5E" w:rsidRPr="00534835" w:rsidRDefault="00F04A5E" w:rsidP="00F04A5E">
            <w:pPr>
              <w:rPr>
                <w:rFonts w:ascii="Century Gothic" w:hAnsi="Century Gothic"/>
                <w:b/>
                <w:sz w:val="32"/>
                <w:szCs w:val="28"/>
              </w:rPr>
            </w:pPr>
            <w:r>
              <w:rPr>
                <w:rFonts w:ascii="Century Gothic" w:hAnsi="Century Gothic"/>
                <w:b/>
                <w:sz w:val="32"/>
                <w:szCs w:val="28"/>
              </w:rPr>
              <w:t>SOLUTIONS</w:t>
            </w:r>
          </w:p>
        </w:tc>
      </w:tr>
    </w:tbl>
    <w:tbl>
      <w:tblPr>
        <w:tblStyle w:val="TableGrid"/>
        <w:tblW w:w="14170" w:type="dxa"/>
        <w:tblLook w:val="04A0" w:firstRow="1" w:lastRow="0" w:firstColumn="1" w:lastColumn="0" w:noHBand="0" w:noVBand="1"/>
      </w:tblPr>
      <w:tblGrid>
        <w:gridCol w:w="3267"/>
        <w:gridCol w:w="4558"/>
        <w:gridCol w:w="6345"/>
      </w:tblGrid>
      <w:tr w:rsidR="0077547A" w:rsidRPr="003953A2" w:rsidTr="006B5E59">
        <w:tc>
          <w:tcPr>
            <w:tcW w:w="3397" w:type="dxa"/>
            <w:vMerge w:val="restart"/>
            <w:textDirection w:val="btLr"/>
          </w:tcPr>
          <w:p w:rsidR="0077547A" w:rsidRDefault="0077547A" w:rsidP="008B22D7">
            <w:pPr>
              <w:ind w:left="113" w:right="113"/>
              <w:rPr>
                <w:rFonts w:ascii="Century Gothic" w:hAnsi="Century Gothic"/>
                <w:b/>
                <w:sz w:val="56"/>
                <w:szCs w:val="28"/>
              </w:rPr>
            </w:pPr>
          </w:p>
          <w:p w:rsidR="0077547A" w:rsidRDefault="0077547A" w:rsidP="008B22D7">
            <w:pPr>
              <w:ind w:left="113" w:right="113"/>
              <w:rPr>
                <w:rFonts w:ascii="Century Gothic" w:hAnsi="Century Gothic"/>
                <w:b/>
                <w:sz w:val="44"/>
                <w:szCs w:val="28"/>
              </w:rPr>
            </w:pPr>
          </w:p>
          <w:p w:rsidR="0077547A" w:rsidRPr="008B22D7" w:rsidRDefault="00F04A5E" w:rsidP="0002159C">
            <w:pPr>
              <w:ind w:left="113" w:right="113"/>
              <w:jc w:val="center"/>
              <w:rPr>
                <w:rFonts w:ascii="Century Gothic" w:hAnsi="Century Gothic"/>
                <w:b/>
                <w:sz w:val="56"/>
                <w:szCs w:val="28"/>
              </w:rPr>
            </w:pPr>
            <w:r>
              <w:rPr>
                <w:rFonts w:ascii="Century Gothic" w:hAnsi="Century Gothic"/>
                <w:b/>
                <w:sz w:val="44"/>
                <w:szCs w:val="28"/>
              </w:rPr>
              <w:t>LEARNING PROVIDERS</w:t>
            </w:r>
          </w:p>
        </w:tc>
        <w:tc>
          <w:tcPr>
            <w:tcW w:w="4820" w:type="dxa"/>
          </w:tcPr>
          <w:p w:rsidR="0077547A" w:rsidRPr="00C20B82" w:rsidRDefault="003160BD" w:rsidP="00C20B82">
            <w:pPr>
              <w:rPr>
                <w:rFonts w:ascii="Century Gothic" w:hAnsi="Century Gothic"/>
                <w:sz w:val="24"/>
                <w:szCs w:val="28"/>
              </w:rPr>
            </w:pPr>
            <w:r w:rsidRPr="00C20B82">
              <w:rPr>
                <w:rFonts w:ascii="Century Gothic" w:hAnsi="Century Gothic"/>
                <w:sz w:val="24"/>
                <w:szCs w:val="28"/>
              </w:rPr>
              <w:t xml:space="preserve">The </w:t>
            </w:r>
            <w:r w:rsidR="00C20B82" w:rsidRPr="00C20B82">
              <w:rPr>
                <w:rFonts w:ascii="Century Gothic" w:hAnsi="Century Gothic"/>
                <w:sz w:val="24"/>
                <w:szCs w:val="28"/>
              </w:rPr>
              <w:t>internal verification and</w:t>
            </w:r>
            <w:r w:rsidRPr="00C20B82">
              <w:rPr>
                <w:rFonts w:ascii="Century Gothic" w:hAnsi="Century Gothic"/>
                <w:sz w:val="24"/>
                <w:szCs w:val="28"/>
              </w:rPr>
              <w:t xml:space="preserve"> signatures </w:t>
            </w:r>
            <w:r w:rsidR="00C20B82" w:rsidRPr="00C20B82">
              <w:rPr>
                <w:rFonts w:ascii="Century Gothic" w:hAnsi="Century Gothic"/>
                <w:sz w:val="24"/>
                <w:szCs w:val="28"/>
              </w:rPr>
              <w:t>provided by the</w:t>
            </w:r>
            <w:r w:rsidRPr="00C20B82">
              <w:rPr>
                <w:rFonts w:ascii="Century Gothic" w:hAnsi="Century Gothic"/>
                <w:sz w:val="24"/>
                <w:szCs w:val="28"/>
              </w:rPr>
              <w:t xml:space="preserve"> Learning Provider is </w:t>
            </w:r>
            <w:r w:rsidR="00C20B82" w:rsidRPr="00C20B82">
              <w:rPr>
                <w:rFonts w:ascii="Century Gothic" w:hAnsi="Century Gothic"/>
                <w:sz w:val="24"/>
                <w:szCs w:val="28"/>
              </w:rPr>
              <w:t>difficult</w:t>
            </w:r>
            <w:r w:rsidRPr="00C20B82">
              <w:rPr>
                <w:rFonts w:ascii="Century Gothic" w:hAnsi="Century Gothic"/>
                <w:sz w:val="24"/>
                <w:szCs w:val="28"/>
              </w:rPr>
              <w:t xml:space="preserve"> to get hold of.  What </w:t>
            </w:r>
            <w:r w:rsidR="00C20B82" w:rsidRPr="00C20B82">
              <w:rPr>
                <w:rFonts w:ascii="Century Gothic" w:hAnsi="Century Gothic"/>
                <w:sz w:val="24"/>
                <w:szCs w:val="28"/>
              </w:rPr>
              <w:t xml:space="preserve">can I do or </w:t>
            </w:r>
            <w:r w:rsidRPr="00C20B82">
              <w:rPr>
                <w:rFonts w:ascii="Century Gothic" w:hAnsi="Century Gothic"/>
                <w:sz w:val="24"/>
                <w:szCs w:val="28"/>
              </w:rPr>
              <w:t>should I expect?</w:t>
            </w:r>
          </w:p>
        </w:tc>
        <w:tc>
          <w:tcPr>
            <w:tcW w:w="5953" w:type="dxa"/>
          </w:tcPr>
          <w:p w:rsidR="00985D5B" w:rsidRPr="00C20B82" w:rsidRDefault="00C20B82" w:rsidP="00985D5B">
            <w:pPr>
              <w:rPr>
                <w:rFonts w:ascii="Century Gothic" w:hAnsi="Century Gothic"/>
                <w:sz w:val="24"/>
                <w:szCs w:val="28"/>
              </w:rPr>
            </w:pPr>
            <w:r w:rsidRPr="00C20B82">
              <w:rPr>
                <w:rFonts w:ascii="Century Gothic" w:hAnsi="Century Gothic"/>
                <w:sz w:val="24"/>
                <w:szCs w:val="28"/>
              </w:rPr>
              <w:t xml:space="preserve">It is important to make Learning Providers aware of WDF and what you need from them.  </w:t>
            </w:r>
            <w:r>
              <w:rPr>
                <w:rFonts w:ascii="Century Gothic" w:hAnsi="Century Gothic"/>
                <w:sz w:val="24"/>
                <w:szCs w:val="28"/>
              </w:rPr>
              <w:t xml:space="preserve">You can obtain information on guidance for learning providers from or direct them to: </w:t>
            </w:r>
            <w:hyperlink r:id="rId11" w:history="1">
              <w:r w:rsidRPr="00C20B82">
                <w:rPr>
                  <w:rStyle w:val="Hyperlink"/>
                  <w:rFonts w:ascii="Century Gothic" w:hAnsi="Century Gothic"/>
                  <w:sz w:val="24"/>
                  <w:szCs w:val="28"/>
                </w:rPr>
                <w:t>http://www.skillsforcare.org.uk/Learning-development/Guidance-for-learning-providers/Guidance-for-Learning-Providers.aspx</w:t>
              </w:r>
            </w:hyperlink>
            <w:r w:rsidRPr="00C20B82">
              <w:rPr>
                <w:rFonts w:ascii="Century Gothic" w:hAnsi="Century Gothic"/>
                <w:sz w:val="24"/>
                <w:szCs w:val="28"/>
              </w:rPr>
              <w:t xml:space="preserve"> </w:t>
            </w:r>
          </w:p>
        </w:tc>
      </w:tr>
      <w:tr w:rsidR="0077547A" w:rsidRPr="003953A2" w:rsidTr="006B5E59">
        <w:tc>
          <w:tcPr>
            <w:tcW w:w="3397" w:type="dxa"/>
            <w:vMerge/>
          </w:tcPr>
          <w:p w:rsidR="0077547A" w:rsidRPr="003953A2" w:rsidRDefault="0077547A" w:rsidP="00720C67">
            <w:pPr>
              <w:rPr>
                <w:rFonts w:ascii="Century Gothic" w:hAnsi="Century Gothic"/>
                <w:sz w:val="28"/>
                <w:szCs w:val="28"/>
              </w:rPr>
            </w:pPr>
          </w:p>
        </w:tc>
        <w:tc>
          <w:tcPr>
            <w:tcW w:w="4820" w:type="dxa"/>
          </w:tcPr>
          <w:p w:rsidR="0077547A" w:rsidRPr="00C20B82" w:rsidRDefault="003160BD" w:rsidP="00720C67">
            <w:pPr>
              <w:rPr>
                <w:rFonts w:ascii="Century Gothic" w:hAnsi="Century Gothic"/>
                <w:sz w:val="24"/>
                <w:szCs w:val="28"/>
              </w:rPr>
            </w:pPr>
            <w:r w:rsidRPr="00C20B82">
              <w:rPr>
                <w:rFonts w:ascii="Century Gothic" w:hAnsi="Century Gothic"/>
                <w:sz w:val="24"/>
                <w:szCs w:val="28"/>
              </w:rPr>
              <w:t>Is there any guidance on which Learning Providers I can use?</w:t>
            </w:r>
          </w:p>
        </w:tc>
        <w:tc>
          <w:tcPr>
            <w:tcW w:w="5953" w:type="dxa"/>
          </w:tcPr>
          <w:p w:rsidR="006B5E59" w:rsidRDefault="00C20B82" w:rsidP="00720C67">
            <w:pPr>
              <w:rPr>
                <w:rFonts w:ascii="Century Gothic" w:hAnsi="Century Gothic"/>
                <w:sz w:val="24"/>
                <w:szCs w:val="28"/>
              </w:rPr>
            </w:pPr>
            <w:r>
              <w:rPr>
                <w:rFonts w:ascii="Century Gothic" w:hAnsi="Century Gothic"/>
                <w:sz w:val="24"/>
                <w:szCs w:val="28"/>
              </w:rPr>
              <w:t xml:space="preserve">Skills for Care provide an Endorsement Framework:  </w:t>
            </w:r>
            <w:hyperlink r:id="rId12" w:history="1">
              <w:r w:rsidRPr="00745B41">
                <w:rPr>
                  <w:rStyle w:val="Hyperlink"/>
                  <w:rFonts w:ascii="Century Gothic" w:hAnsi="Century Gothic"/>
                  <w:sz w:val="24"/>
                  <w:szCs w:val="28"/>
                </w:rPr>
                <w:t>http://www.skillsforcare.org.uk/Learning-development/Endorsement-framework/Endorsement-framework.aspx</w:t>
              </w:r>
            </w:hyperlink>
            <w:r>
              <w:rPr>
                <w:rFonts w:ascii="Century Gothic" w:hAnsi="Century Gothic"/>
                <w:sz w:val="24"/>
                <w:szCs w:val="28"/>
              </w:rPr>
              <w:t xml:space="preserve">   </w:t>
            </w:r>
          </w:p>
          <w:p w:rsidR="006B5E59" w:rsidRDefault="006B5E59" w:rsidP="00720C67">
            <w:pPr>
              <w:rPr>
                <w:rFonts w:ascii="Century Gothic" w:hAnsi="Century Gothic"/>
                <w:sz w:val="24"/>
                <w:szCs w:val="28"/>
              </w:rPr>
            </w:pPr>
          </w:p>
          <w:p w:rsidR="0077547A" w:rsidRPr="00C20B82" w:rsidRDefault="00C20B82" w:rsidP="00720C67">
            <w:pPr>
              <w:rPr>
                <w:rFonts w:ascii="Century Gothic" w:hAnsi="Century Gothic"/>
                <w:sz w:val="24"/>
                <w:szCs w:val="28"/>
              </w:rPr>
            </w:pPr>
            <w:bookmarkStart w:id="0" w:name="_GoBack"/>
            <w:bookmarkEnd w:id="0"/>
            <w:r>
              <w:rPr>
                <w:rFonts w:ascii="Century Gothic" w:hAnsi="Century Gothic"/>
                <w:sz w:val="24"/>
                <w:szCs w:val="28"/>
              </w:rPr>
              <w:t>Another good way is to talk to other care providers in your area</w:t>
            </w:r>
          </w:p>
        </w:tc>
      </w:tr>
      <w:tr w:rsidR="0077547A" w:rsidRPr="003953A2" w:rsidTr="006B5E59">
        <w:tc>
          <w:tcPr>
            <w:tcW w:w="3397" w:type="dxa"/>
            <w:vMerge/>
          </w:tcPr>
          <w:p w:rsidR="0077547A" w:rsidRPr="003953A2" w:rsidRDefault="0077547A" w:rsidP="00720C67">
            <w:pPr>
              <w:rPr>
                <w:rFonts w:ascii="Century Gothic" w:hAnsi="Century Gothic"/>
                <w:sz w:val="28"/>
                <w:szCs w:val="28"/>
              </w:rPr>
            </w:pPr>
          </w:p>
        </w:tc>
        <w:tc>
          <w:tcPr>
            <w:tcW w:w="4820" w:type="dxa"/>
          </w:tcPr>
          <w:p w:rsidR="0077547A" w:rsidRPr="00C20B82" w:rsidRDefault="003160BD" w:rsidP="00720C67">
            <w:pPr>
              <w:rPr>
                <w:rFonts w:ascii="Century Gothic" w:hAnsi="Century Gothic"/>
                <w:sz w:val="24"/>
                <w:szCs w:val="28"/>
              </w:rPr>
            </w:pPr>
            <w:r w:rsidRPr="00C20B82">
              <w:rPr>
                <w:rFonts w:ascii="Century Gothic" w:hAnsi="Century Gothic"/>
                <w:sz w:val="24"/>
                <w:szCs w:val="28"/>
              </w:rPr>
              <w:t>A learning provider has told me that I do not need to pay for the courses they deliver because theses will be covered by the WDF.  Is this the case?</w:t>
            </w:r>
          </w:p>
        </w:tc>
        <w:tc>
          <w:tcPr>
            <w:tcW w:w="5953" w:type="dxa"/>
          </w:tcPr>
          <w:p w:rsidR="0077547A" w:rsidRPr="00C20B82" w:rsidRDefault="00C20B82" w:rsidP="00C20B82">
            <w:pPr>
              <w:rPr>
                <w:rFonts w:ascii="Century Gothic" w:hAnsi="Century Gothic"/>
                <w:sz w:val="24"/>
                <w:szCs w:val="28"/>
              </w:rPr>
            </w:pPr>
            <w:r>
              <w:rPr>
                <w:rFonts w:ascii="Century Gothic" w:hAnsi="Century Gothic"/>
                <w:sz w:val="24"/>
                <w:szCs w:val="28"/>
              </w:rPr>
              <w:t xml:space="preserve">It is important that care providers own their submissions.  It is true that learning providers are required to complete the internal verification information on the forms, but the care provider should complete the Employers Submission declaration form and send to </w:t>
            </w:r>
            <w:hyperlink r:id="rId13" w:history="1">
              <w:r w:rsidRPr="00745B41">
                <w:rPr>
                  <w:rStyle w:val="Hyperlink"/>
                  <w:rFonts w:ascii="Century Gothic" w:hAnsi="Century Gothic"/>
                  <w:sz w:val="24"/>
                  <w:szCs w:val="28"/>
                </w:rPr>
                <w:t>istraining@nottscc.gov.uk</w:t>
              </w:r>
            </w:hyperlink>
            <w:r>
              <w:rPr>
                <w:rFonts w:ascii="Century Gothic" w:hAnsi="Century Gothic"/>
                <w:sz w:val="24"/>
                <w:szCs w:val="28"/>
              </w:rPr>
              <w:t xml:space="preserve"> </w:t>
            </w:r>
          </w:p>
        </w:tc>
      </w:tr>
      <w:tr w:rsidR="0077547A" w:rsidRPr="003953A2" w:rsidTr="006B5E59">
        <w:tc>
          <w:tcPr>
            <w:tcW w:w="3397" w:type="dxa"/>
            <w:vMerge/>
          </w:tcPr>
          <w:p w:rsidR="0077547A" w:rsidRPr="003953A2" w:rsidRDefault="0077547A" w:rsidP="00720C67">
            <w:pPr>
              <w:rPr>
                <w:rFonts w:ascii="Century Gothic" w:hAnsi="Century Gothic"/>
                <w:sz w:val="28"/>
                <w:szCs w:val="28"/>
              </w:rPr>
            </w:pPr>
          </w:p>
        </w:tc>
        <w:tc>
          <w:tcPr>
            <w:tcW w:w="4820" w:type="dxa"/>
          </w:tcPr>
          <w:p w:rsidR="0077547A" w:rsidRPr="00C20B82" w:rsidRDefault="003160BD" w:rsidP="00720C67">
            <w:pPr>
              <w:rPr>
                <w:rFonts w:ascii="Century Gothic" w:hAnsi="Century Gothic"/>
                <w:sz w:val="24"/>
                <w:szCs w:val="28"/>
              </w:rPr>
            </w:pPr>
            <w:r w:rsidRPr="00C20B82">
              <w:rPr>
                <w:rFonts w:ascii="Century Gothic" w:hAnsi="Century Gothic"/>
                <w:sz w:val="24"/>
                <w:szCs w:val="28"/>
              </w:rPr>
              <w:t>What learning resources are provided by Optimum?</w:t>
            </w:r>
          </w:p>
        </w:tc>
        <w:tc>
          <w:tcPr>
            <w:tcW w:w="5953" w:type="dxa"/>
          </w:tcPr>
          <w:p w:rsidR="0077547A" w:rsidRPr="00C20B82" w:rsidRDefault="00C20B82" w:rsidP="006B5E59">
            <w:pPr>
              <w:rPr>
                <w:rFonts w:ascii="Century Gothic" w:hAnsi="Century Gothic"/>
                <w:sz w:val="24"/>
                <w:szCs w:val="28"/>
              </w:rPr>
            </w:pPr>
            <w:r>
              <w:rPr>
                <w:rFonts w:ascii="Century Gothic" w:hAnsi="Century Gothic"/>
                <w:sz w:val="24"/>
                <w:szCs w:val="28"/>
              </w:rPr>
              <w:t>Optimum work with a range of learning providers, but do not reco</w:t>
            </w:r>
            <w:r w:rsidR="006B5E59">
              <w:rPr>
                <w:rFonts w:ascii="Century Gothic" w:hAnsi="Century Gothic"/>
                <w:sz w:val="24"/>
                <w:szCs w:val="28"/>
              </w:rPr>
              <w:t>mmend or endorse any.  Some learning providers offer discounts to Optimum members on some courses, which are offered as</w:t>
            </w:r>
            <w:r>
              <w:rPr>
                <w:rFonts w:ascii="Century Gothic" w:hAnsi="Century Gothic"/>
                <w:sz w:val="24"/>
                <w:szCs w:val="28"/>
              </w:rPr>
              <w:t xml:space="preserve"> membership benefits</w:t>
            </w:r>
            <w:r w:rsidR="006B5E59">
              <w:rPr>
                <w:rFonts w:ascii="Century Gothic" w:hAnsi="Century Gothic"/>
                <w:sz w:val="24"/>
                <w:szCs w:val="28"/>
              </w:rPr>
              <w:t>.  There providers include:</w:t>
            </w:r>
            <w:r>
              <w:rPr>
                <w:rFonts w:ascii="Century Gothic" w:hAnsi="Century Gothic"/>
                <w:sz w:val="24"/>
                <w:szCs w:val="28"/>
              </w:rPr>
              <w:t xml:space="preserve"> SCILS, ACCTV</w:t>
            </w:r>
            <w:r w:rsidR="006B5E59">
              <w:rPr>
                <w:rFonts w:ascii="Century Gothic" w:hAnsi="Century Gothic"/>
                <w:sz w:val="24"/>
                <w:szCs w:val="28"/>
              </w:rPr>
              <w:t xml:space="preserve"> and Tempest Management Training</w:t>
            </w:r>
          </w:p>
        </w:tc>
      </w:tr>
      <w:tr w:rsidR="0077547A" w:rsidRPr="003953A2" w:rsidTr="006B5E59">
        <w:tc>
          <w:tcPr>
            <w:tcW w:w="3397" w:type="dxa"/>
            <w:vMerge/>
          </w:tcPr>
          <w:p w:rsidR="0077547A" w:rsidRPr="003953A2" w:rsidRDefault="0077547A" w:rsidP="00720C67">
            <w:pPr>
              <w:rPr>
                <w:rFonts w:ascii="Century Gothic" w:hAnsi="Century Gothic"/>
                <w:sz w:val="28"/>
                <w:szCs w:val="28"/>
              </w:rPr>
            </w:pPr>
          </w:p>
        </w:tc>
        <w:tc>
          <w:tcPr>
            <w:tcW w:w="4820" w:type="dxa"/>
          </w:tcPr>
          <w:p w:rsidR="0077547A" w:rsidRPr="00C20B82" w:rsidRDefault="00C20B82" w:rsidP="00720C67">
            <w:pPr>
              <w:rPr>
                <w:rFonts w:ascii="Century Gothic" w:hAnsi="Century Gothic"/>
                <w:sz w:val="24"/>
                <w:szCs w:val="28"/>
              </w:rPr>
            </w:pPr>
            <w:r w:rsidRPr="00C20B82">
              <w:rPr>
                <w:rFonts w:ascii="Century Gothic" w:hAnsi="Century Gothic"/>
                <w:sz w:val="24"/>
                <w:szCs w:val="28"/>
              </w:rPr>
              <w:t>How will the new apprenticeship standards affect the way I work with Learning Providers?</w:t>
            </w:r>
          </w:p>
        </w:tc>
        <w:tc>
          <w:tcPr>
            <w:tcW w:w="5953" w:type="dxa"/>
          </w:tcPr>
          <w:p w:rsidR="0077547A" w:rsidRPr="00C20B82" w:rsidRDefault="006B5E59" w:rsidP="00720C67">
            <w:pPr>
              <w:rPr>
                <w:rFonts w:ascii="Century Gothic" w:hAnsi="Century Gothic"/>
                <w:sz w:val="24"/>
                <w:szCs w:val="28"/>
              </w:rPr>
            </w:pPr>
            <w:r>
              <w:rPr>
                <w:rFonts w:ascii="Century Gothic" w:hAnsi="Century Gothic"/>
                <w:sz w:val="24"/>
                <w:szCs w:val="28"/>
              </w:rPr>
              <w:t xml:space="preserve">More information on the apprenticeship standards and levy can be found at:  </w:t>
            </w:r>
            <w:hyperlink r:id="rId14" w:history="1">
              <w:r w:rsidRPr="00745B41">
                <w:rPr>
                  <w:rStyle w:val="Hyperlink"/>
                  <w:rFonts w:ascii="Century Gothic" w:hAnsi="Century Gothic"/>
                  <w:sz w:val="24"/>
                  <w:szCs w:val="28"/>
                </w:rPr>
                <w:t>http://www.skillsforcare.org.uk/Learning-development/Apprenticeships/Apprenticeships.aspx</w:t>
              </w:r>
            </w:hyperlink>
            <w:r>
              <w:rPr>
                <w:rFonts w:ascii="Century Gothic" w:hAnsi="Century Gothic"/>
                <w:sz w:val="24"/>
                <w:szCs w:val="28"/>
              </w:rPr>
              <w:t xml:space="preserve"> </w:t>
            </w:r>
          </w:p>
        </w:tc>
      </w:tr>
    </w:tbl>
    <w:p w:rsidR="003A3887" w:rsidRDefault="003A3887"/>
    <w:sectPr w:rsidR="003A3887" w:rsidSect="008B22D7">
      <w:pgSz w:w="16838" w:h="11906"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5B" w:rsidRDefault="00985D5B" w:rsidP="00985D5B">
      <w:pPr>
        <w:spacing w:after="0" w:line="240" w:lineRule="auto"/>
      </w:pPr>
      <w:r>
        <w:separator/>
      </w:r>
    </w:p>
  </w:endnote>
  <w:endnote w:type="continuationSeparator" w:id="0">
    <w:p w:rsidR="00985D5B" w:rsidRDefault="00985D5B" w:rsidP="0098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5B" w:rsidRDefault="00985D5B" w:rsidP="00985D5B">
      <w:pPr>
        <w:spacing w:after="0" w:line="240" w:lineRule="auto"/>
      </w:pPr>
      <w:r>
        <w:separator/>
      </w:r>
    </w:p>
  </w:footnote>
  <w:footnote w:type="continuationSeparator" w:id="0">
    <w:p w:rsidR="00985D5B" w:rsidRDefault="00985D5B" w:rsidP="0098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3B0"/>
    <w:multiLevelType w:val="hybridMultilevel"/>
    <w:tmpl w:val="97B0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C1B6E"/>
    <w:multiLevelType w:val="hybridMultilevel"/>
    <w:tmpl w:val="F238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1660B"/>
    <w:multiLevelType w:val="hybridMultilevel"/>
    <w:tmpl w:val="F3F0E01E"/>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A2"/>
    <w:rsid w:val="0002159C"/>
    <w:rsid w:val="00197C23"/>
    <w:rsid w:val="002F46A8"/>
    <w:rsid w:val="003160BD"/>
    <w:rsid w:val="003953A2"/>
    <w:rsid w:val="0039646D"/>
    <w:rsid w:val="003A3887"/>
    <w:rsid w:val="00534835"/>
    <w:rsid w:val="006B5E59"/>
    <w:rsid w:val="0077547A"/>
    <w:rsid w:val="00815707"/>
    <w:rsid w:val="008B22D7"/>
    <w:rsid w:val="00985D5B"/>
    <w:rsid w:val="00A12FAD"/>
    <w:rsid w:val="00C20B82"/>
    <w:rsid w:val="00CC710E"/>
    <w:rsid w:val="00CD263B"/>
    <w:rsid w:val="00D43B0D"/>
    <w:rsid w:val="00E01E36"/>
    <w:rsid w:val="00E06152"/>
    <w:rsid w:val="00E14762"/>
    <w:rsid w:val="00F04A5E"/>
    <w:rsid w:val="00F8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E28B-5FDE-47CE-84EE-439BF1F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36"/>
    <w:pPr>
      <w:ind w:left="720"/>
      <w:contextualSpacing/>
    </w:pPr>
  </w:style>
  <w:style w:type="paragraph" w:styleId="Header">
    <w:name w:val="header"/>
    <w:basedOn w:val="Normal"/>
    <w:link w:val="HeaderChar"/>
    <w:uiPriority w:val="99"/>
    <w:unhideWhenUsed/>
    <w:rsid w:val="00985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5B"/>
  </w:style>
  <w:style w:type="paragraph" w:styleId="Footer">
    <w:name w:val="footer"/>
    <w:basedOn w:val="Normal"/>
    <w:link w:val="FooterChar"/>
    <w:uiPriority w:val="99"/>
    <w:unhideWhenUsed/>
    <w:rsid w:val="0098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5B"/>
  </w:style>
  <w:style w:type="character" w:styleId="Hyperlink">
    <w:name w:val="Hyperlink"/>
    <w:basedOn w:val="DefaultParagraphFont"/>
    <w:uiPriority w:val="99"/>
    <w:unhideWhenUsed/>
    <w:rsid w:val="002F4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ds-sc-online.org.uk/content/About.aspx" TargetMode="External"/><Relationship Id="rId13" Type="http://schemas.openxmlformats.org/officeDocument/2006/relationships/hyperlink" Target="mailto:istraining@nottscc.gov.uk" TargetMode="External"/><Relationship Id="rId3" Type="http://schemas.openxmlformats.org/officeDocument/2006/relationships/settings" Target="settings.xml"/><Relationship Id="rId7" Type="http://schemas.openxmlformats.org/officeDocument/2006/relationships/hyperlink" Target="https://www.nmds-sc-online.org.uk/content/About.aspx" TargetMode="External"/><Relationship Id="rId12" Type="http://schemas.openxmlformats.org/officeDocument/2006/relationships/hyperlink" Target="http://www.skillsforcare.org.uk/Learning-development/Endorsement-framework/Endorsement-framework.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care.org.uk/Learning-development/Guidance-for-learning-providers/Guidance-for-Learning-Provider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straining@nottscc.gov.uk" TargetMode="External"/><Relationship Id="rId4" Type="http://schemas.openxmlformats.org/officeDocument/2006/relationships/webSettings" Target="webSettings.xml"/><Relationship Id="rId9" Type="http://schemas.openxmlformats.org/officeDocument/2006/relationships/hyperlink" Target="http://www.skillsforcare.org.uk/Learning-development/Funding/Workforce-Development-Fund/Workforce-Development-Fund.aspx" TargetMode="External"/><Relationship Id="rId14" Type="http://schemas.openxmlformats.org/officeDocument/2006/relationships/hyperlink" Target="http://www.skillsforcare.org.uk/Learning-development/Apprenticeships/Apprenticesh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Claire Poole</cp:lastModifiedBy>
  <cp:revision>6</cp:revision>
  <dcterms:created xsi:type="dcterms:W3CDTF">2018-01-29T11:01:00Z</dcterms:created>
  <dcterms:modified xsi:type="dcterms:W3CDTF">2018-01-29T12:13:00Z</dcterms:modified>
</cp:coreProperties>
</file>